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4B1" w:rsidRDefault="000724B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направления бюджетной и налоговой политики</w:t>
      </w: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Лобня на 2025 год и на плановый период 2026 и 2027 годов</w:t>
      </w:r>
    </w:p>
    <w:p w:rsidR="000724B1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0724B1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Default="009B434A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городского округа Лобня </w:t>
      </w:r>
      <w:r>
        <w:rPr>
          <w:rFonts w:ascii="Times New Roman" w:hAnsi="Times New Roman"/>
          <w:sz w:val="24"/>
          <w:szCs w:val="24"/>
        </w:rPr>
        <w:br/>
        <w:t>на 2025 год и на плановый период 2026 и 2027 годов (далее – основные направления бюджетной и налоговой политики) определены 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Посланием Президента Российской Федерации В.В. Путина Федеральному Собранию Российской Федерации от 29 февраля 2024 года,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Положением о бюджетном процессе в городском округе Лобня, утвержденным решением Совета депутатов городского округа Лобня от 07.10.2022 </w:t>
      </w:r>
      <w:r>
        <w:rPr>
          <w:rFonts w:ascii="Times New Roman" w:hAnsi="Times New Roman"/>
          <w:sz w:val="24"/>
          <w:szCs w:val="24"/>
        </w:rPr>
        <w:br/>
        <w:t xml:space="preserve">№ 170/25 (с учетом изменений), на основании стратегии социально-экономического развития Московской области, а также с учетом прогноза социально-экономического развития городского округа Лобня на 2025-2027 годы. </w:t>
      </w:r>
    </w:p>
    <w:p w:rsidR="000724B1" w:rsidRDefault="009B434A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являются основой </w:t>
      </w:r>
      <w:r>
        <w:rPr>
          <w:rFonts w:ascii="Times New Roman" w:hAnsi="Times New Roman"/>
          <w:sz w:val="24"/>
          <w:szCs w:val="24"/>
        </w:rPr>
        <w:br/>
        <w:t xml:space="preserve">для составления проекта бюджета городского округа на очередной финансовый год </w:t>
      </w:r>
      <w:r>
        <w:rPr>
          <w:rFonts w:ascii="Times New Roman" w:hAnsi="Times New Roman"/>
          <w:sz w:val="24"/>
          <w:szCs w:val="24"/>
        </w:rPr>
        <w:br/>
        <w:t xml:space="preserve">и на плановый период, а также для повышения качества бюджетного процесса, обеспечения рационального, эффективного и результативного расходования бюджетных средств.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Эффективное и прозрачное управление бюджетными средствами городского округа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городского округа. 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Основные итоги бюджетной и налоговой политики</w:t>
      </w: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Лобня в 2023 году</w:t>
      </w:r>
    </w:p>
    <w:p w:rsidR="000724B1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поступлений доходов в бюджет городского округа за 2023 год составил сумму 6 495 422,02232 тыс. рублей, в том числе по собственным доходам сумму                         2 402 246,62979 тыс. рублей. Плановые показатели по общему объему доходов исполнены </w:t>
      </w:r>
      <w:r>
        <w:rPr>
          <w:rFonts w:ascii="Times New Roman" w:hAnsi="Times New Roman"/>
          <w:sz w:val="24"/>
          <w:szCs w:val="24"/>
        </w:rPr>
        <w:br/>
        <w:t xml:space="preserve">на  105,7 процента, в том числе по собственным доходам на 103,8 процента.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Собственные доходы бюджета составляют 37,0 процентов в общей сумме доходов. </w:t>
      </w:r>
      <w:r>
        <w:rPr>
          <w:rFonts w:ascii="Times New Roman" w:hAnsi="Times New Roman"/>
          <w:sz w:val="24"/>
          <w:szCs w:val="24"/>
        </w:rPr>
        <w:br/>
        <w:t xml:space="preserve">В структуре собственных доходов бюджета городского округа основная доля приходится </w:t>
      </w:r>
      <w:r>
        <w:rPr>
          <w:rFonts w:ascii="Times New Roman" w:hAnsi="Times New Roman"/>
          <w:sz w:val="24"/>
          <w:szCs w:val="24"/>
        </w:rPr>
        <w:br/>
        <w:t xml:space="preserve">на налоговые доходы – 83,4 процента. Доля неналоговых доходов составляет 16,6 процентов. Общий объем доходов по сравнению с прошлым годом увеличился на 269 648,9 тыс. рублей, </w:t>
      </w:r>
      <w:r>
        <w:rPr>
          <w:rFonts w:ascii="Times New Roman" w:hAnsi="Times New Roman"/>
          <w:sz w:val="24"/>
          <w:szCs w:val="24"/>
        </w:rPr>
        <w:br/>
        <w:t>в том числе по собственным доходам увеличился на 639 496,7 тыс. рублей.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Бюджетная политика в 2023-2026 годы направлена на решение социально-экономических задач, на повышение благосостояния и улучшение качества жизни населения города посредством обеспечения устойчивых темпов роста экономики и расширения потенциала сбалансированного развития, адресное решение социальных проблем, повышение качества и скорости предоставления муниципальных услуг. В 2023 году применялся программно-целевой метод планирования расходов бюджета городского округа Лобня. </w:t>
      </w:r>
      <w:r>
        <w:rPr>
          <w:rFonts w:ascii="Times New Roman" w:hAnsi="Times New Roman"/>
          <w:sz w:val="24"/>
          <w:szCs w:val="24"/>
        </w:rPr>
        <w:br/>
        <w:t xml:space="preserve">В составе расходов бюджета исполнялись 19 муниципальных программ, расходы на которые </w:t>
      </w:r>
      <w:r>
        <w:rPr>
          <w:rFonts w:ascii="Times New Roman" w:hAnsi="Times New Roman"/>
          <w:sz w:val="24"/>
          <w:szCs w:val="24"/>
        </w:rPr>
        <w:br/>
        <w:t>в общей сумме составили 6 457 840,92702 тыс. рублей.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городском округе Лобня в 2023 году осуществляло свою деятельность 6 казенных учреждений, 46 бюджетных учреждения, 9 автономных учреждений. Кроме того, в городском округе Лобня осуществляло свою деятельность 2 муниципальных унитарных предприятия (УМП "Лобненская Теплосеть", МП "Домовладение").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 городского округа по расходам за 2023 год исполнен в сумме                               6 457 840,92702 тыс. рублей или 97,5 процента к утвержденным бюджетным назначениям.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структуре расходов бюджета 2023 года наибольший удельный вес занимали расходы на социально-культурную сферу 4 624 3986,98145 тыс. рублей, или 71,6 %, в жилищно-коммунальное хозяйство и национальную экономику вложено средств в сумме 1 289 540,63096 тыс. рублей, или   20 %.</w:t>
      </w:r>
    </w:p>
    <w:p w:rsidR="000724B1" w:rsidRDefault="009B43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Hlk160033918"/>
      <w:r>
        <w:rPr>
          <w:rFonts w:ascii="Times New Roman" w:hAnsi="Times New Roman"/>
          <w:sz w:val="24"/>
          <w:szCs w:val="24"/>
        </w:rPr>
        <w:t xml:space="preserve">  В разрезе экономической структуры расходов бюджета наибольший удельный вес занимают расходы на заработную плату, вместе с начислениями они составили                2 439 406,30000 тыс. рублей, или 38,0% всех расходов бюджета.</w:t>
      </w:r>
    </w:p>
    <w:p w:rsidR="000724B1" w:rsidRDefault="009B43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Hlk97299719"/>
      <w:bookmarkEnd w:id="0"/>
      <w:r>
        <w:rPr>
          <w:rFonts w:ascii="Times New Roman" w:hAnsi="Times New Roman"/>
          <w:sz w:val="24"/>
          <w:szCs w:val="24"/>
        </w:rPr>
        <w:t xml:space="preserve">  Расходы на финансовое обеспечение выполнения муниципального задания на оказание муниципальных услуг (выполнение работ) составили 2 364 550,35313 тыс. рублей или 36,6 % всех расходов бюджета.</w:t>
      </w:r>
    </w:p>
    <w:p w:rsidR="000724B1" w:rsidRDefault="009B43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Расходы на субсидии бюджетным и автономным учреждениям на иные цели составили 147 228,11362 тыс. рублей или 2,3 % всех расходов бюджета.</w:t>
      </w:r>
    </w:p>
    <w:bookmarkEnd w:id="1"/>
    <w:p w:rsidR="000724B1" w:rsidRDefault="009B434A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Расходы на содержание органов местного самоуправления составили в 2023 году              299 225,43407 тыс. рублей, в общих расходах бюджета 4,7%.</w:t>
      </w:r>
    </w:p>
    <w:p w:rsidR="000724B1" w:rsidRDefault="009B434A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Численность работников, занятых в управлении на конец отчетного года                       177,0 единиц.</w:t>
      </w:r>
    </w:p>
    <w:p w:rsidR="000724B1" w:rsidRDefault="009B434A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Долговая политика в 2023 году была направлена на: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поддержание объема муниципального долга на экономически безопасном уровне путем оптимизации структуры заимствований и равномерного распределения, связанных с ними платежей по обслуживанию долга;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привлечение заемных средств на условиях минимальных расходов на их обслуживание.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долг на 01.01.2024г. года составил 443 500,00000 тыс. рублей, в том числе: по кредитам от кредитных организаций 140 000,00000 тыс. рублей; по бюджетным кредитам 303 500,00000 тыс. рублей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расходов на обслуживание муниципального долга составил                                   5 204,45002 тыс. рублей.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Основные направления налоговой политики на 2025 год</w:t>
      </w: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плановый период 2026-2027 годов</w:t>
      </w:r>
    </w:p>
    <w:p w:rsidR="000724B1" w:rsidRDefault="000724B1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Приоритеты налоговой политики городского округа направлены на: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обеспечение эффективной и стабильной налоговой системы;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 поддержание сбалансированности и создание условий для устойчивого исполнения бюджета городского округа, повышение доходного потенциала;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совершенствование налогового администрирования, взаимодействие и совместную работу с администраторами доходов;</w:t>
      </w:r>
    </w:p>
    <w:p w:rsidR="000724B1" w:rsidRDefault="009B434A">
      <w:pPr>
        <w:pStyle w:val="NormalExport"/>
        <w:suppressAutoHyphens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повышение уровня ответственности главных администраторов доходов за выполнение плановых показателей поступления доходов в бюджет;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реализацию мер по противодействию уклонения от налогообложения;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стимулирование и развитие новых производств;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стимулирование и развитие среднего и малого предпринимательства;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поддержку инвестиций, создание благоприятных условий для осуществления инвестиционной деятельности в городском округе;</w:t>
      </w:r>
    </w:p>
    <w:p w:rsidR="000724B1" w:rsidRDefault="009B434A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дополнительную социальную поддержку жителей городского округа;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мониторинг и совершенствование системы налогообложения недвижимого имущества;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оптимизацию существующей системы налоговых льгот, мониторинг эффективности налоговых льгот;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сокращение недоимки по налогам и сборам, по арендным и иным платежам в бюджет городского округа;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повышение эффективного использования имущества, находящегося в муниципальной собственности;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недопущение снижения уровня поступления неналоговых платежей в бюджет городского округа;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поиск новых источников пополнения бюджета городского округа.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pStyle w:val="aa"/>
        <w:tabs>
          <w:tab w:val="left" w:pos="709"/>
        </w:tabs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С 1 января 2025 года федеральным законодательством устанавливается:</w:t>
      </w:r>
    </w:p>
    <w:p w:rsidR="000724B1" w:rsidRDefault="009B434A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- 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введение дифференцированных ставок по налогу на доходы физических лиц </w:t>
      </w:r>
      <w:r>
        <w:rPr>
          <w:rFonts w:ascii="Times New Roman" w:hAnsi="Times New Roman"/>
          <w:bCs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>и пятиступенчатой налоговой шкалы в зависимости от размера и вида, полученного налогоплательщиком в налоговом периоде дохода:</w:t>
      </w:r>
    </w:p>
    <w:p w:rsidR="000724B1" w:rsidRDefault="009B434A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13% - для дохода, </w:t>
      </w:r>
      <w:r>
        <w:rPr>
          <w:rFonts w:ascii="Times New Roman" w:hAnsi="Times New Roman"/>
          <w:bCs/>
          <w:sz w:val="24"/>
          <w:szCs w:val="24"/>
          <w:lang w:eastAsia="ru-RU"/>
        </w:rPr>
        <w:t>не превышающего 2,4 млн. рублей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724B1" w:rsidRDefault="009B434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15% - для дохода,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превышающего 2,4 млн. рублей </w:t>
      </w:r>
      <w:r>
        <w:rPr>
          <w:rFonts w:ascii="Times New Roman" w:hAnsi="Times New Roman"/>
          <w:sz w:val="24"/>
          <w:szCs w:val="24"/>
          <w:lang w:eastAsia="ru-RU"/>
        </w:rPr>
        <w:t>и не более 5 млн рублей;</w:t>
      </w:r>
    </w:p>
    <w:p w:rsidR="000724B1" w:rsidRDefault="009B434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18% - для дохода,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превышающего 5 млн. рублей и не более 20 млн. </w:t>
      </w:r>
      <w:r>
        <w:rPr>
          <w:rFonts w:ascii="Times New Roman" w:hAnsi="Times New Roman"/>
          <w:sz w:val="24"/>
          <w:szCs w:val="24"/>
          <w:lang w:eastAsia="ru-RU"/>
        </w:rPr>
        <w:t>рублей;</w:t>
      </w:r>
    </w:p>
    <w:p w:rsidR="000724B1" w:rsidRDefault="009B434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20% - для дохода,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превышающего 20 млн. рублей и не более 50 млн. </w:t>
      </w:r>
      <w:r>
        <w:rPr>
          <w:rFonts w:ascii="Times New Roman" w:hAnsi="Times New Roman"/>
          <w:sz w:val="24"/>
          <w:szCs w:val="24"/>
          <w:lang w:eastAsia="ru-RU"/>
        </w:rPr>
        <w:t>рублей;</w:t>
      </w:r>
    </w:p>
    <w:p w:rsidR="000724B1" w:rsidRDefault="009B434A">
      <w:pPr>
        <w:pStyle w:val="aa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22% - для дохода, </w:t>
      </w:r>
      <w:r>
        <w:rPr>
          <w:rFonts w:ascii="Times New Roman" w:hAnsi="Times New Roman"/>
          <w:bCs/>
          <w:sz w:val="24"/>
          <w:szCs w:val="24"/>
          <w:lang w:eastAsia="ru-RU"/>
        </w:rPr>
        <w:t>превышающего 50 млн. рублей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724B1" w:rsidRDefault="009B434A">
      <w:pPr>
        <w:pStyle w:val="aa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При этом одновременно будут усилены налоговые меры социальной поддержки, 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  <w:t>в частности:</w:t>
      </w:r>
    </w:p>
    <w:p w:rsidR="000724B1" w:rsidRDefault="009B434A">
      <w:pPr>
        <w:pStyle w:val="aa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- введение налогового вычета для семей с двумя и более детьми, доход которых 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  <w:t xml:space="preserve">не превышает величину 1,5 прожиточного минимума; </w:t>
      </w:r>
    </w:p>
    <w:p w:rsidR="000724B1" w:rsidRDefault="009B434A">
      <w:pPr>
        <w:pStyle w:val="aa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- распространение стандартного налогового вычета на лиц, регулярно проходящих диспансеризацию и успешно выполнивших нормативы ГТО; </w:t>
      </w:r>
    </w:p>
    <w:p w:rsidR="000724B1" w:rsidRDefault="009B434A">
      <w:pPr>
        <w:pStyle w:val="aa"/>
        <w:tabs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- увеличение предельного размера доходов, до достижения которого применяются стандартные налоговые вычеты;</w:t>
      </w:r>
    </w:p>
    <w:p w:rsidR="000724B1" w:rsidRDefault="009B434A">
      <w:pPr>
        <w:pStyle w:val="aa"/>
        <w:tabs>
          <w:tab w:val="left" w:pos="709"/>
        </w:tabs>
        <w:autoSpaceDE w:val="0"/>
        <w:autoSpaceDN w:val="0"/>
        <w:adjustRightInd w:val="0"/>
        <w:ind w:left="0"/>
        <w:jc w:val="both"/>
        <w:rPr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- увеличение стандартных налоговых вычетов на детей.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целях увеличения налогооблагаемой базы продолжается реализация следующих мероприятий: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мониторинг поступлений налоговых и неналоговых доходов бюджета городского округа;</w:t>
      </w:r>
    </w:p>
    <w:p w:rsidR="000724B1" w:rsidRDefault="009B434A">
      <w:pPr>
        <w:pStyle w:val="NormalExport"/>
        <w:suppressAutoHyphens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выявления и пресечения схем минимизации налогов, совершенствования методов контроля легализации «теневой» заработной платы;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контроль за соблюдением работодателями уровня оплаты труда не ниже минимальной заработной платы, установленной Соглашением о минимальной заработной плате </w:t>
      </w:r>
      <w:r>
        <w:rPr>
          <w:rFonts w:ascii="Times New Roman" w:hAnsi="Times New Roman"/>
          <w:sz w:val="24"/>
          <w:szCs w:val="24"/>
        </w:rPr>
        <w:br/>
        <w:t>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на соответствующий период;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функционирование системы финансового оздоровления убыточных организаций </w:t>
      </w:r>
      <w:r>
        <w:rPr>
          <w:rFonts w:ascii="Times New Roman" w:hAnsi="Times New Roman"/>
          <w:sz w:val="24"/>
          <w:szCs w:val="24"/>
        </w:rPr>
        <w:br/>
        <w:t>с целью обеспечения поступления от них в бюджет налога на прибыль;</w:t>
      </w:r>
    </w:p>
    <w:p w:rsidR="000724B1" w:rsidRDefault="009B434A">
      <w:pPr>
        <w:pStyle w:val="NormalExport"/>
        <w:suppressAutoHyphens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совершенствования применения специальных налоговых режимов для развития малого и среднего предпринимательства;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выявление организаций, имеющих на территории городского округа недвижимое имущество (земельные участки, объекты капитального строительства), но не предоставляющие налоговую отчетность в МРИ ФНС России №13 по Московской области;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постановка на учет в налоговых органах организаций, осуществляющих деятельность </w:t>
      </w:r>
      <w:r>
        <w:rPr>
          <w:rFonts w:ascii="Times New Roman" w:hAnsi="Times New Roman"/>
          <w:sz w:val="24"/>
          <w:szCs w:val="24"/>
        </w:rPr>
        <w:br/>
        <w:t xml:space="preserve">и (или) имеющих недвижимое имущество на территории городского округа, </w:t>
      </w:r>
      <w:r>
        <w:rPr>
          <w:rFonts w:ascii="Times New Roman" w:hAnsi="Times New Roman"/>
          <w:sz w:val="24"/>
          <w:szCs w:val="24"/>
        </w:rPr>
        <w:br/>
        <w:t>но зарегистрированных в других субъектах Российской Федерации. Контроль за перечислением указанными организациями соответствующих налогов и сборов;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инвентаризация адресов в программном комплексе федеральной информационной адресной системе (ФИАС);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вовлечение в налоговый оборот земельных участков, по которым не установлена категория и вид разрешенного использования;</w:t>
      </w:r>
    </w:p>
    <w:p w:rsidR="000724B1" w:rsidRDefault="009B434A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выявление объектов капитального строительства, правоустанавливающие документы на которые не оформлены;</w:t>
      </w:r>
    </w:p>
    <w:p w:rsidR="000724B1" w:rsidRDefault="009B43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 проведение разъяснительной работы с гражданами по вопросу регистрации права собственности на данные объекты;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инвентаризация сведений в муниципальных архивах о действующих правоустанавливающих документах в отношении ранее учтенных объектов недвижимости, сведения о которых отсутствуют в ГКН и (ИЛИ) в ЕГРП;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в целях улучшения условий ведения бизнеса за счет улучшения администрирования доходов федеральным налоговым законодательством введен институт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бюджетами, и с 1 января 2023 года введен единый налоговый платеж (ЕНП) для всех организаций по налогам и взносам раз в месяц одной платежкой, за исключением взносов на травматизм, НДС и госпошлин;</w:t>
      </w:r>
    </w:p>
    <w:p w:rsidR="000724B1" w:rsidRDefault="009B434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 введен новый налоговый режим Автоматизированная упрощенная система налогообложения для микро-предприятий до 5 сотрудников и доходами,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не более 60 млн. рублей. Система использует данные контрольно-кассовой техники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банковских счетов в рамках личного кабинета налогоплательщика и делает возможным администрирование налога в бездекларационном формате.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целях увеличения неналогового потенциала продолжается реализация следующих мероприятий: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обеспечение достоверности, полноты и актуальности сведений, содержащихся </w:t>
      </w:r>
      <w:r>
        <w:rPr>
          <w:rFonts w:ascii="Times New Roman" w:hAnsi="Times New Roman"/>
          <w:sz w:val="24"/>
          <w:szCs w:val="24"/>
        </w:rPr>
        <w:br/>
        <w:t>в Единой информационной системе в сфере управления государственным муниципальным имуществом (ЕИСУГИ);</w:t>
      </w:r>
    </w:p>
    <w:p w:rsidR="000724B1" w:rsidRDefault="009B43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 контроль за соответствием фактически установленных рекламных конструкций </w:t>
      </w:r>
      <w:r>
        <w:rPr>
          <w:rFonts w:ascii="Times New Roman" w:hAnsi="Times New Roman"/>
          <w:sz w:val="24"/>
          <w:szCs w:val="24"/>
        </w:rPr>
        <w:br/>
        <w:t>на территории городского округа, утвержденным схемам размещения рекламных конструкций;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расширение схем размещения рекламных конструкций в городском округе;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инвентаризация имущества, находящегося в собственности муниципального образования, с целью выявления неэффективно используемых объектов для дальнейшей передачи указанного имущества в аренду или включения в план приватизации имущества;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реорганизация убыточных и не ведущих хозяйственную деятельность муниципальных унитарных предприятий городского округа в целях повышения эффективности использования имущества, находящегося в собственности муниципального образования.</w:t>
      </w:r>
    </w:p>
    <w:p w:rsidR="000724B1" w:rsidRDefault="009B434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целом в налоговой политике акцент сохранится на повышение эффективности стимулирующей функции налоговой системы и улучшения качества администрирования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с сопутствующим облегчением административной нагрузки для налогоплательщиков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 повышением собираемости налогов.</w:t>
      </w:r>
    </w:p>
    <w:p w:rsidR="000724B1" w:rsidRDefault="000724B1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Структура налоговых и неналоговых доходов бюджета городского округа Лобня</w:t>
      </w:r>
    </w:p>
    <w:p w:rsidR="000724B1" w:rsidRDefault="009B434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2023 – 2025 годы</w:t>
      </w:r>
    </w:p>
    <w:p w:rsidR="000724B1" w:rsidRDefault="000724B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24B1" w:rsidRDefault="009B434A">
      <w:pPr>
        <w:spacing w:line="240" w:lineRule="auto"/>
        <w:ind w:right="-2"/>
        <w:contextualSpacing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    тыс. рублей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277"/>
        <w:gridCol w:w="993"/>
        <w:gridCol w:w="1277"/>
        <w:gridCol w:w="993"/>
        <w:gridCol w:w="1277"/>
        <w:gridCol w:w="1135"/>
      </w:tblGrid>
      <w:tr w:rsidR="000724B1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0724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 (ожидаемое)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</w:tc>
      </w:tr>
      <w:tr w:rsidR="000724B1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уд. вес в общем объеме доходов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724B1" w:rsidRDefault="000724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уд. вес в общем объеме доходов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уд. вес в общем объеме доходов (%)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1 361 814,5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2 340 183,0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2 060 753,0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10 762,1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335 779,5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453 787,0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530 754,0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налог на вмененный доход по отдельным видам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-1 160,0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9 230,3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30 735,0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47 603,0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87 381,6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100 326,0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118 201,0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184 264,5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325 326,0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283 576,0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16 574,0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налоги и сборы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2 002 622,9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3 280 229,0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3 075 869,0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89,9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141 903,4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181 500,0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 в аренду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50 111,6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42 276,0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47 748,0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Платежи за негативное воздействие на окружающую среду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Доходы от оказания услуг (платных)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15 875,9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17 508,4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89 757,9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59 472,1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91 735,3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56 225,6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399 623,7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329 063,7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346 598,0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10,1</w:t>
            </w:r>
          </w:p>
        </w:tc>
      </w:tr>
      <w:tr w:rsidR="000724B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2 402 246,6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3 609 292,7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3 422 467,0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724B1" w:rsidRDefault="009B43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</w:tbl>
    <w:p w:rsidR="000724B1" w:rsidRDefault="000724B1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Налоговые и неналоговые доходы бюджета городского округа на 2025 год прогнозируются в сумме 3 422 467,0 тыс. рублей, со снижением к оценке 2024 года </w:t>
      </w:r>
      <w:r>
        <w:rPr>
          <w:rFonts w:ascii="Times New Roman" w:hAnsi="Times New Roman"/>
          <w:sz w:val="24"/>
          <w:szCs w:val="24"/>
        </w:rPr>
        <w:br/>
        <w:t>на 186 825,7 тыс. рублей или 5,2 процентов.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структуре налоговых и неналоговых доходов бюджета городского округа основная доля доходов приходится на налоговые платежи: 2023 год – 83,4%, 2024 год – 90,9%, 2025 год – 89,9 %.  Доля неналоговых платежей: 2023 год – 16,6 %, 2024 год – 9,1 %, 2025 год – 10,1 %.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Налоговые доходы в 2025 году прогнозируются в размере </w:t>
      </w:r>
      <w:r w:rsidRPr="00052FCD">
        <w:rPr>
          <w:rFonts w:ascii="Times New Roman" w:hAnsi="Times New Roman"/>
          <w:sz w:val="24"/>
          <w:szCs w:val="24"/>
        </w:rPr>
        <w:t>3 075 869,0</w:t>
      </w:r>
      <w:r>
        <w:rPr>
          <w:rFonts w:ascii="Times New Roman" w:hAnsi="Times New Roman"/>
          <w:sz w:val="24"/>
          <w:szCs w:val="24"/>
        </w:rPr>
        <w:t xml:space="preserve"> тыс. рублей </w:t>
      </w:r>
      <w:r>
        <w:rPr>
          <w:rFonts w:ascii="Times New Roman" w:hAnsi="Times New Roman"/>
          <w:sz w:val="24"/>
          <w:szCs w:val="24"/>
        </w:rPr>
        <w:br/>
        <w:t xml:space="preserve">со снижением к оценке 2024 года на 204 360,0 тыс. рублей или на 6,2 процента.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основных доходных источников бюджета городского округа является налог </w:t>
      </w:r>
      <w:r>
        <w:rPr>
          <w:rFonts w:ascii="Times New Roman" w:hAnsi="Times New Roman"/>
          <w:sz w:val="24"/>
          <w:szCs w:val="24"/>
        </w:rPr>
        <w:br/>
        <w:t xml:space="preserve">на доходы физических лиц, его доля в общем объеме налоговых и неналоговых доходов очень высока:  в 2023 году – 56,7 %, в 2024 году – 64,8 %, в 2025 году – 60,2 %. Поступления налога на 2025 год прогнозируются в сумме 2 060 753,0 тыс. рублей (в т.ч. дополнительные нормативы от НДФЛ в сумме 1 134 219,0 тыс. рублей), со снижением к оценке 2024 года </w:t>
      </w:r>
      <w:r>
        <w:rPr>
          <w:rFonts w:ascii="Times New Roman" w:hAnsi="Times New Roman"/>
          <w:sz w:val="24"/>
          <w:szCs w:val="24"/>
        </w:rPr>
        <w:br/>
        <w:t>на 279 430,0 тыс. рублей или 11,9 процентов за счет уменьшения процента по дополнительному нормативу от НДФЛ в бюджет городского округа.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субъектов РФ местными бюджетами с учетом установленных дифференцированных нормативов отчислений в местные бюджеты в общем объеме налоговых и неналоговых доходов в 2023 году - 0,4%, в 2024 году - 0,3%, в 2025 году составляет 0,3 %. Поступления доходов от уплаты акцизов в бюджет городского округа </w:t>
      </w:r>
      <w:r>
        <w:rPr>
          <w:rFonts w:ascii="Times New Roman" w:hAnsi="Times New Roman"/>
          <w:sz w:val="24"/>
          <w:szCs w:val="24"/>
        </w:rPr>
        <w:br/>
        <w:t xml:space="preserve">на 2025 год прогнозируются в сумме 11 921,0 тыс. рублей, с ростом к оценке 2024 года </w:t>
      </w:r>
      <w:r>
        <w:rPr>
          <w:rFonts w:ascii="Times New Roman" w:hAnsi="Times New Roman"/>
          <w:sz w:val="24"/>
          <w:szCs w:val="24"/>
        </w:rPr>
        <w:br/>
        <w:t>на 456,0 тыс. рублей или 4,0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налога, взимаемого в связи с применением упрощенной системы налогообложения в общем объеме налоговых и неналоговых доходов в 2023 году составляет 14,0 %, в 2024 году – 12,6 %, в 2025 году – 15,5 %. Поступления налога в бюджет городского округа на 2025 год прогнозируются в сумме 530 754,0 тыс. рублей, с ростом к оценке 2024 года </w:t>
      </w:r>
      <w:r>
        <w:rPr>
          <w:rFonts w:ascii="Times New Roman" w:hAnsi="Times New Roman"/>
          <w:sz w:val="24"/>
          <w:szCs w:val="24"/>
        </w:rPr>
        <w:br/>
        <w:t>на 76 967,0 тыс. рублей или 17,0 процентов.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color w:val="405965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Единый налог на вмененный доход по отдельным видам деятельности в 2025 году – </w:t>
      </w:r>
      <w:r>
        <w:rPr>
          <w:rFonts w:ascii="Times New Roman" w:hAnsi="Times New Roman"/>
          <w:sz w:val="24"/>
          <w:szCs w:val="24"/>
        </w:rPr>
        <w:br/>
        <w:t>не прогнозируется, в связи с отменой с 01.01.2021 года специального налогового режима</w:t>
      </w:r>
      <w:r>
        <w:rPr>
          <w:rFonts w:ascii="Times New Roman" w:hAnsi="Times New Roman"/>
          <w:color w:val="405965"/>
          <w:sz w:val="24"/>
          <w:szCs w:val="24"/>
          <w:shd w:val="clear" w:color="auto" w:fill="FFFFFF"/>
        </w:rPr>
        <w:t>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2023-2024 годы платежи по единому сельскохозяйственному налогу занимают незначительную долю в общем объеме налоговых и неналоговых доходов бюджета городского округа. Поступления налога в бюджет городского округа на 2025 год не прогнозируются.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налога, взимаемого с применением патентной системы налогообложения в общем объеме налоговых и неналоговых доходов в 2023 году составляет 0,4 %, в 2024 году – 0,9 %, </w:t>
      </w:r>
      <w:r>
        <w:rPr>
          <w:rFonts w:ascii="Times New Roman" w:hAnsi="Times New Roman"/>
          <w:sz w:val="24"/>
          <w:szCs w:val="24"/>
        </w:rPr>
        <w:br/>
        <w:t xml:space="preserve">в 2025 году – 1,4 %. Поступления налога в бюджет городского округа на 2025 год прогнозируются в сумме 47 603,0 тыс. рублей, с ростом к оценке 2024 года </w:t>
      </w:r>
      <w:r>
        <w:rPr>
          <w:rFonts w:ascii="Times New Roman" w:hAnsi="Times New Roman"/>
          <w:sz w:val="24"/>
          <w:szCs w:val="24"/>
        </w:rPr>
        <w:br/>
        <w:t>на 16 868,0 тыс. рублей или 54,9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2024-2025 годы платежи по 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алогу, взимаемый в связи с применением специального налогового режима "Автоматизированная упрощенная система налогообложения" </w:t>
      </w:r>
      <w:r>
        <w:rPr>
          <w:rFonts w:ascii="Times New Roman" w:hAnsi="Times New Roman"/>
          <w:sz w:val="24"/>
          <w:szCs w:val="24"/>
        </w:rPr>
        <w:t xml:space="preserve">занимают незначительную долю в общем объеме налоговых и неналоговых доходов бюджета городского округа. Поступления налога в бюджет городского округа на 2025 год прогнозируются в сумме </w:t>
      </w:r>
      <w:r>
        <w:rPr>
          <w:rFonts w:ascii="Times New Roman" w:hAnsi="Times New Roman"/>
          <w:sz w:val="24"/>
          <w:szCs w:val="24"/>
        </w:rPr>
        <w:br/>
        <w:t>2 721,0 тыс. рублей. Новый налоговый режим «Автоматизированная налоговая система налогообложения» введен с 01.01.2023 года.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Доля налога на имущество физических лиц в общем объеме налоговых и неналоговых доходов в 2023 году составляет 3,6 %, в 2024 году – 2,8 %, в 2025 году – 3,5 %. Поступления налога в бюджет городского округа на 2025 год прогнозируются в сумме                                          118 201,0 тыс. рублей, с ростом к оценке 2024 года на 17 875,0 тыс. рублей или 17,8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земельного налога в общем объеме налоговых и неналоговых доходов в 2023 году составляет 7,7 %, в 2024 году – 9,0 %, в 2025 году – 8,3 %. Поступления налога в бюджет городского округа на 2025 год прогнозируются в сумме 283 576,0 тыс. рублей, со снижением </w:t>
      </w:r>
      <w:r>
        <w:rPr>
          <w:rFonts w:ascii="Times New Roman" w:hAnsi="Times New Roman"/>
          <w:sz w:val="24"/>
          <w:szCs w:val="24"/>
        </w:rPr>
        <w:br/>
        <w:t>к оценке 2024 года на 41 750,0 тыс. рублей или 12,8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государственной пошлины в общем объеме налоговых и неналоговых доходов </w:t>
      </w:r>
      <w:r>
        <w:rPr>
          <w:rFonts w:ascii="Times New Roman" w:hAnsi="Times New Roman"/>
          <w:sz w:val="24"/>
          <w:szCs w:val="24"/>
        </w:rPr>
        <w:br/>
        <w:t xml:space="preserve">в 2023 году составляет 0,5 %, в 2024 году - 0,5 %, в 2025 году – 0,6 %. Поступления государственной пошлины в бюджет городского округа на 2025 год прогнозируются в сумме </w:t>
      </w:r>
      <w:r>
        <w:rPr>
          <w:rFonts w:ascii="Times New Roman" w:hAnsi="Times New Roman"/>
          <w:sz w:val="24"/>
          <w:szCs w:val="24"/>
        </w:rPr>
        <w:br/>
        <w:t>20 340,0 тыс. рублей, с ростом к оценке 2024 года на 3 766,0 тыс. рублей или 22,7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Неналоговые доходы в 2025 году прогнозируются в сумме </w:t>
      </w:r>
      <w:r w:rsidRPr="00FD36BE">
        <w:rPr>
          <w:rFonts w:ascii="Times New Roman" w:hAnsi="Times New Roman"/>
          <w:sz w:val="24"/>
          <w:szCs w:val="24"/>
        </w:rPr>
        <w:t>346 598,0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рублей </w:t>
      </w:r>
      <w:r>
        <w:rPr>
          <w:rFonts w:ascii="Times New Roman" w:hAnsi="Times New Roman"/>
          <w:sz w:val="24"/>
          <w:szCs w:val="24"/>
        </w:rPr>
        <w:br/>
        <w:t>с ростом к оценке 2024 года на 17 534,3 тыс. рублей или 5,3 процентов.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Наибольший удельный вес в неналоговых доходах бюджета городского округа занимают доходы от сдачи  в аренду земельных участков: в 2023 году – 35,5 %, в 2024 году – 43,2 %, </w:t>
      </w:r>
      <w:r>
        <w:rPr>
          <w:rFonts w:ascii="Times New Roman" w:hAnsi="Times New Roman"/>
          <w:sz w:val="24"/>
          <w:szCs w:val="24"/>
        </w:rPr>
        <w:br/>
        <w:t xml:space="preserve">в 2025 году – 52,4 %. Доля доходов в общем объеме налоговых и неналоговых доходов </w:t>
      </w:r>
      <w:r>
        <w:rPr>
          <w:rFonts w:ascii="Times New Roman" w:hAnsi="Times New Roman"/>
          <w:sz w:val="24"/>
          <w:szCs w:val="24"/>
        </w:rPr>
        <w:br/>
        <w:t xml:space="preserve">в 2023 году составляет 5,9 %, в 2024 году – 3,9 %, в 2025 году – 5,3 %. Поступления доходов </w:t>
      </w:r>
      <w:r>
        <w:rPr>
          <w:rFonts w:ascii="Times New Roman" w:hAnsi="Times New Roman"/>
          <w:sz w:val="24"/>
          <w:szCs w:val="24"/>
        </w:rPr>
        <w:br/>
        <w:t xml:space="preserve">от сдачи в аренду земельных участков в бюджет городского округа на 2025 год прогнозируются в сумме 181 500,0 тыс. рублей, с  ростом к оценке 2024 года на 39 500,0 тыс. рублей </w:t>
      </w:r>
      <w:r>
        <w:rPr>
          <w:rFonts w:ascii="Times New Roman" w:hAnsi="Times New Roman"/>
          <w:sz w:val="24"/>
          <w:szCs w:val="24"/>
        </w:rPr>
        <w:br/>
        <w:t>или 27,8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доходов от сдачи в аренду имущества в общем объеме налоговых и неналоговых доходов в 2023 году составляет 2,1 %, в 2024 году – 1,2 %, в 2025 году – 1,4 %. Поступления доходов от сдачи в аренду имущества в бюджет городского округа на 2025 год прогнозируются в сумме 47 748,0 тыс. рублей, с увеличением к оценке 2024 года на 5 472,0 тыс. рублей </w:t>
      </w:r>
      <w:r>
        <w:rPr>
          <w:rFonts w:ascii="Times New Roman" w:hAnsi="Times New Roman"/>
          <w:sz w:val="24"/>
          <w:szCs w:val="24"/>
        </w:rPr>
        <w:br/>
        <w:t>или 12,9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2023-2025 годы платежи за негативное воздействие на окружающую среду занимают незначительную долю в общем объеме налоговых и неналоговых доходов бюджета городского округа. Поступления платежей за негативное воздействие на окружающую среду в бюджет городского округа на 2025 год прогнозируются в сумме 350,0 тыс. рублей, со снижением </w:t>
      </w:r>
      <w:r>
        <w:rPr>
          <w:rFonts w:ascii="Times New Roman" w:hAnsi="Times New Roman"/>
          <w:sz w:val="24"/>
          <w:szCs w:val="24"/>
        </w:rPr>
        <w:br/>
        <w:t>к оценке 2024 года на 301,0 тыс. рублей или 46,2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доходов от оказания услуг (платных) и компенсации затрат государства в общем объеме налоговых и неналоговых доходов бюджета городского округа в 2023 году составляет 0,7 %, в 2024 году – 0,5 %, в 2025 году - 0,1 %.  Поступления доходов от оказания услуг (платных) и компенсации затрат государства в бюджет городского округа </w:t>
      </w:r>
      <w:r>
        <w:rPr>
          <w:rFonts w:ascii="Times New Roman" w:hAnsi="Times New Roman"/>
          <w:sz w:val="24"/>
          <w:szCs w:val="24"/>
        </w:rPr>
        <w:br/>
        <w:t xml:space="preserve">на 2025 год прогнозируются в сумме 5 000,0 тыс. рублей, со снижением к оценке 2024 года </w:t>
      </w:r>
      <w:r>
        <w:rPr>
          <w:rFonts w:ascii="Times New Roman" w:hAnsi="Times New Roman"/>
          <w:sz w:val="24"/>
          <w:szCs w:val="24"/>
        </w:rPr>
        <w:br/>
        <w:t>на 12 508,4 тыс. рублей или 71,4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доходов от продажи имущества в общем объеме налоговых и неналоговых доходов бюджета городского округа в 2023 году составляет 3,7 %, в 2024 году – 1,6 %, в 2025 году – </w:t>
      </w:r>
      <w:r>
        <w:rPr>
          <w:rFonts w:ascii="Times New Roman" w:hAnsi="Times New Roman"/>
          <w:sz w:val="24"/>
          <w:szCs w:val="24"/>
        </w:rPr>
        <w:br/>
        <w:t xml:space="preserve">2,1 %. Поступления доходов от продажи имущества в бюджет городского округа на 2025 год прогнозируются в сумме 73 000,0 тыс. рублей, с ростом к оценке 2024 года </w:t>
      </w:r>
      <w:r>
        <w:rPr>
          <w:rFonts w:ascii="Times New Roman" w:hAnsi="Times New Roman"/>
          <w:sz w:val="24"/>
          <w:szCs w:val="24"/>
        </w:rPr>
        <w:br/>
        <w:t>на 13 527,9 тыс. рублей или на 22,7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доходов от продажи земельных участков в общем объеме налоговых и неналоговых доходов бюджета городского округа в 2023 году составляет – 3,8 %, в 2024 году – 1,6 %, </w:t>
      </w:r>
      <w:r>
        <w:rPr>
          <w:rFonts w:ascii="Times New Roman" w:hAnsi="Times New Roman"/>
          <w:sz w:val="24"/>
          <w:szCs w:val="24"/>
        </w:rPr>
        <w:br/>
        <w:t xml:space="preserve">в 2025 году – 1,0 %. Поступления доходов от продажи земельных участков в бюджет </w:t>
      </w:r>
      <w:r>
        <w:rPr>
          <w:rFonts w:ascii="Times New Roman" w:hAnsi="Times New Roman"/>
          <w:sz w:val="24"/>
          <w:szCs w:val="24"/>
        </w:rPr>
        <w:lastRenderedPageBreak/>
        <w:t>городского округа на 2025 год прогнозируются в сумме 34 000,0 тыс. рублей, со снижением</w:t>
      </w:r>
      <w:r>
        <w:rPr>
          <w:rFonts w:ascii="Times New Roman" w:hAnsi="Times New Roman"/>
          <w:sz w:val="24"/>
          <w:szCs w:val="24"/>
        </w:rPr>
        <w:br/>
        <w:t>к оценке 2024 года на 22 225,6 тыс. рублей или на 39,5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штрафов, санкций, возмещений ущерба в общем объеме налоговых и неналоговых доходов бюджета городского округа в 2023 году составляет 0,4 %, в 2024 году – 0,2 %, </w:t>
      </w:r>
      <w:r>
        <w:rPr>
          <w:rFonts w:ascii="Times New Roman" w:hAnsi="Times New Roman"/>
          <w:sz w:val="24"/>
          <w:szCs w:val="24"/>
        </w:rPr>
        <w:br/>
        <w:t xml:space="preserve">в 2025 году - 0,2 %. Поступления штрафов, санкций, возмещений ущерба в бюджет городского округа на 2025 год прогнозируются в сумме 5 000,0 тыс. рублей, со снижением  к оценке </w:t>
      </w:r>
      <w:r>
        <w:rPr>
          <w:rFonts w:ascii="Times New Roman" w:hAnsi="Times New Roman"/>
          <w:sz w:val="24"/>
          <w:szCs w:val="24"/>
        </w:rPr>
        <w:br/>
        <w:t>2024 года на 2 868,6 тыс. рублей или 36,5 процента.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прочих неналоговых доходов в общем объеме налоговых и неналоговых доходов бюджета городского округа в 2023 году составляет 0 %, в 2024 году – 0,1 %, в 2025 году – 0 %. Поступления прочих неналоговых доходов в бюджет городского округа на 2025 год </w:t>
      </w:r>
      <w:r>
        <w:rPr>
          <w:rFonts w:ascii="Times New Roman" w:hAnsi="Times New Roman"/>
          <w:sz w:val="24"/>
          <w:szCs w:val="24"/>
        </w:rPr>
        <w:br/>
        <w:t>не прогнозируются.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Основные направления бюджетной политики на 2025 год</w:t>
      </w:r>
    </w:p>
    <w:p w:rsidR="000724B1" w:rsidRDefault="009B434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плановый период 2026-2027 годов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Бюджетная политика на 2025-2027 годы направлена на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социально-экономической политики городского округа, достижение измеримых общественно значимых результатов, наиболее важные из которых установлены Указами Президента Российской Федерации </w:t>
      </w:r>
      <w:r>
        <w:rPr>
          <w:rFonts w:ascii="Times New Roman" w:hAnsi="Times New Roman"/>
          <w:sz w:val="24"/>
          <w:szCs w:val="24"/>
        </w:rPr>
        <w:br/>
        <w:t>и поручениями Губернатора Московской области.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формировании параметров бюджета городского округа необходимо обеспечить финансированием действующие расходные обязательства. Принятие новых расходных обязательств должно проводиться с учетом их эффективности и возможных сроков </w:t>
      </w:r>
      <w:r>
        <w:rPr>
          <w:rFonts w:ascii="Times New Roman" w:hAnsi="Times New Roman"/>
          <w:sz w:val="24"/>
          <w:szCs w:val="24"/>
        </w:rPr>
        <w:br/>
        <w:t>и механизмов реализации, в пределах имеющихся ресурсов.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целью бюджетной политики в городском округе является повышение эффективности, прозрачности и подотчетности использования бюджетных средств, </w:t>
      </w:r>
      <w:r>
        <w:rPr>
          <w:rFonts w:ascii="Times New Roman" w:hAnsi="Times New Roman"/>
          <w:sz w:val="24"/>
          <w:szCs w:val="24"/>
        </w:rPr>
        <w:br/>
        <w:t>при реализации приоритетов и целей социально-экономического развития городского округа.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обеспечить решение следующих основных задач: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При формировании бюджета городского округа на очередной финансовый год </w:t>
      </w:r>
      <w:r>
        <w:rPr>
          <w:rFonts w:ascii="Times New Roman" w:hAnsi="Times New Roman"/>
          <w:sz w:val="24"/>
          <w:szCs w:val="24"/>
        </w:rPr>
        <w:br/>
        <w:t>и плановый период применять программно-целевой метод планирования расходов.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 При разработке муниципальных программ особое внимание следует уделять обеспечению выполнения ключевых и целевых показателей программы и их увязки с целями </w:t>
      </w:r>
      <w:r>
        <w:rPr>
          <w:rFonts w:ascii="Times New Roman" w:hAnsi="Times New Roman"/>
          <w:sz w:val="24"/>
          <w:szCs w:val="24"/>
        </w:rPr>
        <w:br/>
        <w:t>и задачами, обозначенными в государственной программе.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Минимизировать риски несбалансированности бюджета при бюджетном планировании. Бюджетное планирование осуществить исходя из консервативной оценки доходного потенциала, обеспечить достаточную гибкость предельных объемов и структуры бюджетных расходов, в том числе при сокращении, и при неблагоприятной динамике бюджетных доходов.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Осуществить совершенствование муниципального финансового контроля с целью его ориентации на оценку эффективности бюджетных расходов.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Повысить открытость и прозрачность управления бюджетными средствами.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Проведение оценки эффективности налоговых льгот (пониженных ставок) и принятие мер по отмене неэффективных и неиспользуемых преференций;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Формирование бюджета городского округа с учетом реализации муниципальных программ позволяет гарантированно обеспечить финансовыми ресурсами действующие расходные обязательства.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ближайшие годы предлагается сохранить преемственность бюджетной политики, направленной на устойчивость и сбалансированность бюджета, приоритетное обеспечение всех социальных расходов, а также финансовое обеспечение полномочий муниципального уровня.</w:t>
      </w: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6. Основные параметры бюджета городского округа Лобня на 2025 год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  <w:t>и на плановый период 2026-2027 годов</w:t>
      </w:r>
    </w:p>
    <w:p w:rsidR="000724B1" w:rsidRDefault="000724B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iCs/>
          <w:color w:val="000000"/>
          <w:spacing w:val="3"/>
          <w:sz w:val="24"/>
          <w:szCs w:val="24"/>
          <w:lang w:eastAsia="ru-RU"/>
        </w:rPr>
      </w:pP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2025 году общий объем доходов бюджета городского округа прогнозируется в сумме                       5 844 621,49000 тыс. рублей, со снижением к ожидаемому уровню 2024 года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>на 4 662 973,70063 тыс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 рублей.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плановом периоде доходы бюджета городского округа предусматриваются в сумме: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2026 году – 5 358 294,41300 </w:t>
      </w:r>
      <w:r>
        <w:rPr>
          <w:rFonts w:ascii="Times New Roman" w:hAnsi="Times New Roman"/>
          <w:sz w:val="24"/>
          <w:szCs w:val="24"/>
          <w:lang w:eastAsia="ru-RU"/>
        </w:rPr>
        <w:t xml:space="preserve">тыс. рублей, со снижением к 2025 году </w:t>
      </w:r>
      <w:r>
        <w:rPr>
          <w:rFonts w:ascii="Times New Roman" w:hAnsi="Times New Roman"/>
          <w:sz w:val="24"/>
          <w:szCs w:val="24"/>
          <w:lang w:eastAsia="ru-RU"/>
        </w:rPr>
        <w:br/>
        <w:t>на 486 327,07700 тыс. рублей;</w:t>
      </w:r>
    </w:p>
    <w:p w:rsidR="000724B1" w:rsidRDefault="009B434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2027 году – 4 908 622,95400 тыс. рублей, со снижением к 2026 году </w:t>
      </w:r>
      <w:r>
        <w:rPr>
          <w:rFonts w:ascii="Times New Roman" w:hAnsi="Times New Roman"/>
          <w:sz w:val="24"/>
          <w:szCs w:val="24"/>
          <w:lang w:eastAsia="ru-RU"/>
        </w:rPr>
        <w:br/>
        <w:t>на  449 671,45900 тыс. рублей.</w:t>
      </w:r>
    </w:p>
    <w:p w:rsidR="000724B1" w:rsidRDefault="009B434A">
      <w:pPr>
        <w:widowControl w:val="0"/>
        <w:autoSpaceDE w:val="0"/>
        <w:autoSpaceDN w:val="0"/>
        <w:adjustRightInd w:val="0"/>
        <w:spacing w:after="0" w:line="240" w:lineRule="auto"/>
        <w:ind w:left="831" w:firstLine="417"/>
        <w:contextualSpacing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84"/>
        <w:gridCol w:w="2268"/>
        <w:gridCol w:w="2552"/>
        <w:gridCol w:w="2294"/>
      </w:tblGrid>
      <w:tr w:rsidR="000724B1">
        <w:tc>
          <w:tcPr>
            <w:tcW w:w="2784" w:type="dxa"/>
          </w:tcPr>
          <w:p w:rsidR="000724B1" w:rsidRDefault="000724B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2552" w:type="dxa"/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3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2294" w:type="dxa"/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0724B1">
        <w:trPr>
          <w:cantSplit/>
        </w:trPr>
        <w:tc>
          <w:tcPr>
            <w:tcW w:w="2784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5 844 621,49000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5 358 294,41300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4 908 622,95400</w:t>
            </w:r>
          </w:p>
        </w:tc>
      </w:tr>
      <w:tr w:rsidR="000724B1">
        <w:trPr>
          <w:cantSplit/>
        </w:trPr>
        <w:tc>
          <w:tcPr>
            <w:tcW w:w="2784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6 071 705,87300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-83"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5 596 441,13300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5 111 327,77200</w:t>
            </w:r>
          </w:p>
        </w:tc>
      </w:tr>
      <w:tr w:rsidR="000724B1">
        <w:trPr>
          <w:cantSplit/>
        </w:trPr>
        <w:tc>
          <w:tcPr>
            <w:tcW w:w="2784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Профицит+/дефицит-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227 084,38300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238 146,72000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202 704,81800</w:t>
            </w:r>
          </w:p>
        </w:tc>
      </w:tr>
      <w:tr w:rsidR="000724B1">
        <w:trPr>
          <w:cantSplit/>
        </w:trPr>
        <w:tc>
          <w:tcPr>
            <w:tcW w:w="9898" w:type="dxa"/>
            <w:gridSpan w:val="4"/>
            <w:vAlign w:val="center"/>
          </w:tcPr>
          <w:p w:rsidR="000724B1" w:rsidRDefault="009B434A">
            <w:pPr>
              <w:widowControl w:val="0"/>
              <w:tabs>
                <w:tab w:val="left" w:pos="48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</w:tr>
      <w:tr w:rsidR="000724B1">
        <w:trPr>
          <w:cantSplit/>
        </w:trPr>
        <w:tc>
          <w:tcPr>
            <w:tcW w:w="2784" w:type="dxa"/>
          </w:tcPr>
          <w:p w:rsidR="000724B1" w:rsidRDefault="009B4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-4 662 973,70063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8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-486 327,07700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- 449 671,45900</w:t>
            </w:r>
          </w:p>
        </w:tc>
      </w:tr>
      <w:tr w:rsidR="000724B1">
        <w:trPr>
          <w:cantSplit/>
        </w:trPr>
        <w:tc>
          <w:tcPr>
            <w:tcW w:w="2784" w:type="dxa"/>
          </w:tcPr>
          <w:p w:rsidR="000724B1" w:rsidRDefault="009B434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- 4 602 794,69263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5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- 475 264,74000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hanging="83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- 485 113,36100</w:t>
            </w:r>
          </w:p>
        </w:tc>
      </w:tr>
      <w:tr w:rsidR="000724B1">
        <w:trPr>
          <w:cantSplit/>
          <w:trHeight w:val="132"/>
        </w:trPr>
        <w:tc>
          <w:tcPr>
            <w:tcW w:w="2784" w:type="dxa"/>
          </w:tcPr>
          <w:p w:rsidR="000724B1" w:rsidRDefault="009B43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Профицит+/дефицит-</w:t>
            </w:r>
          </w:p>
        </w:tc>
        <w:tc>
          <w:tcPr>
            <w:tcW w:w="2268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 w:firstLine="34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-60 179,00800</w:t>
            </w:r>
          </w:p>
        </w:tc>
        <w:tc>
          <w:tcPr>
            <w:tcW w:w="2552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-11 062,337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94" w:type="dxa"/>
            <w:tcMar>
              <w:top w:w="0" w:type="dxa"/>
              <w:left w:w="57" w:type="dxa"/>
              <w:bottom w:w="0" w:type="dxa"/>
              <w:right w:w="39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7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+35 441,90200</w:t>
            </w:r>
          </w:p>
        </w:tc>
      </w:tr>
    </w:tbl>
    <w:p w:rsidR="000724B1" w:rsidRDefault="000724B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бюджета городского округа составят: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 году – 6 071 705,87300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рублей, со снижением к ожидаемому уровню </w:t>
      </w:r>
      <w:r>
        <w:rPr>
          <w:rFonts w:ascii="Times New Roman" w:hAnsi="Times New Roman"/>
          <w:sz w:val="24"/>
          <w:szCs w:val="24"/>
        </w:rPr>
        <w:br/>
        <w:t>2024 года на 4 602 794,69263  тыс. рублей;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– 5 596 441,13300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рублей, со </w:t>
      </w:r>
      <w:r>
        <w:rPr>
          <w:rFonts w:ascii="Times New Roman" w:hAnsi="Times New Roman"/>
          <w:sz w:val="24"/>
          <w:szCs w:val="24"/>
          <w:lang w:eastAsia="ru-RU"/>
        </w:rPr>
        <w:t>снижением</w:t>
      </w:r>
      <w:r>
        <w:rPr>
          <w:rFonts w:ascii="Times New Roman" w:hAnsi="Times New Roman"/>
          <w:sz w:val="24"/>
          <w:szCs w:val="24"/>
        </w:rPr>
        <w:t xml:space="preserve"> к 2025 году </w:t>
      </w:r>
      <w:r>
        <w:rPr>
          <w:rFonts w:ascii="Times New Roman" w:hAnsi="Times New Roman"/>
          <w:sz w:val="24"/>
          <w:szCs w:val="24"/>
        </w:rPr>
        <w:br/>
        <w:t>на 475 264,74000 тыс. рублей;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2027 году – 5 111 327,77200 тыс. рублей, со снижением к 2026 году </w:t>
      </w:r>
      <w:r>
        <w:rPr>
          <w:rFonts w:ascii="Times New Roman" w:hAnsi="Times New Roman"/>
          <w:sz w:val="24"/>
          <w:szCs w:val="24"/>
        </w:rPr>
        <w:br/>
        <w:t>на 485 113,36100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рублей.</w:t>
      </w:r>
    </w:p>
    <w:p w:rsidR="000724B1" w:rsidRDefault="009B434A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Прогнозируемые объемы доходов (налоговых, неналоговых) бюджета городского округа Лобня на 2025-2027 годы определены исходя из оценки доходного потенциала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в 2024 году, данных главных администраторов доходов бюджета, центральных исполнительных органов государственной власти Московской области, государственных органов Московской области о прогнозе поступлений доходных источников. 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 города на 2025-2027 годы сформирован с дефицитом, размер которого составит: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2025 году – 227 084,38300 тыс. рублей или 9,9 процентов к общей сумме доходов </w:t>
      </w:r>
      <w:r>
        <w:rPr>
          <w:rFonts w:ascii="Times New Roman" w:hAnsi="Times New Roman"/>
          <w:sz w:val="24"/>
          <w:szCs w:val="24"/>
        </w:rPr>
        <w:br/>
        <w:t>без учета безвозмездных поступлений и без учета дополнительных нормативов по НДФЛ;</w:t>
      </w:r>
    </w:p>
    <w:p w:rsidR="000724B1" w:rsidRDefault="009B434A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2026 году – 238 146,72000 тыс. рублей или 9,8 процентов к общей сумме доходов </w:t>
      </w:r>
      <w:r>
        <w:rPr>
          <w:rFonts w:ascii="Times New Roman" w:hAnsi="Times New Roman"/>
          <w:sz w:val="24"/>
          <w:szCs w:val="24"/>
        </w:rPr>
        <w:br/>
        <w:t>без учета безвозмездных поступлений и без учета дополнительных нормативов по НДФЛ;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2027 году – 202 704,81800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рублей или 7,6 процентов к общей сумме доходов </w:t>
      </w:r>
      <w:r>
        <w:rPr>
          <w:rFonts w:ascii="Times New Roman" w:hAnsi="Times New Roman"/>
          <w:sz w:val="24"/>
          <w:szCs w:val="24"/>
        </w:rPr>
        <w:br/>
        <w:t>без учета безвозмездных поступлений и без учета дополнительных нормативов по НДФЛ.</w:t>
      </w:r>
    </w:p>
    <w:p w:rsidR="000724B1" w:rsidRDefault="000724B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24B1" w:rsidRDefault="000724B1">
      <w:pPr>
        <w:spacing w:after="0"/>
        <w:ind w:firstLine="709"/>
        <w:contextualSpacing/>
        <w:jc w:val="both"/>
        <w:rPr>
          <w:rFonts w:ascii="Times New Roman" w:hAnsi="Times New Roman"/>
          <w:iCs/>
          <w:color w:val="000000"/>
          <w:spacing w:val="6"/>
          <w:sz w:val="24"/>
          <w:szCs w:val="24"/>
          <w:lang w:eastAsia="ru-RU"/>
        </w:rPr>
      </w:pPr>
    </w:p>
    <w:p w:rsidR="000724B1" w:rsidRDefault="009B434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pacing w:val="6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/>
          <w:spacing w:val="6"/>
          <w:sz w:val="24"/>
          <w:szCs w:val="24"/>
          <w:lang w:eastAsia="ru-RU"/>
        </w:rPr>
        <w:t>7. Основные приоритеты бюджетных расходов</w:t>
      </w:r>
    </w:p>
    <w:p w:rsidR="000724B1" w:rsidRDefault="000724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pacing w:val="6"/>
          <w:sz w:val="24"/>
          <w:szCs w:val="24"/>
          <w:lang w:eastAsia="ru-RU"/>
        </w:rPr>
      </w:pP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pacing w:val="1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Основные приоритеты расходов бюджета городского округа в 2025-2027 годах определены с учетом необходимости решения неотложных проблем экономического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и социального развития, достижения целевых показателей, обозначенных в указах Президента Российской Федерации, в их числе: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повышение оплаты труда работникам бюджетной сферы;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повышение эффективности и качества услуг в сфере образования, науки, культуры, здравоохранения;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индексация расходов бюджетных учреждений на оплату коммунальных услуг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и материальные затраты, увеличение расходов на проведение капитального ремонта учреждений.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Расходы бюджета городского округа Лобня на 2025-2027 годы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основным функциональным направлениям сложились следующим образом:</w:t>
      </w:r>
    </w:p>
    <w:p w:rsidR="000724B1" w:rsidRDefault="000724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p w:rsidR="000724B1" w:rsidRDefault="000724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Расходы бюджета городского округа Лобня на 2025 год</w:t>
      </w:r>
    </w:p>
    <w:p w:rsidR="000724B1" w:rsidRDefault="009B43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  <w:t>и на плановый период 2026 и 2027 годов</w:t>
      </w:r>
    </w:p>
    <w:p w:rsidR="000724B1" w:rsidRDefault="000724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pacing w:val="3"/>
          <w:sz w:val="24"/>
          <w:szCs w:val="24"/>
          <w:lang w:eastAsia="ru-RU"/>
        </w:rPr>
      </w:pPr>
    </w:p>
    <w:tbl>
      <w:tblPr>
        <w:tblW w:w="994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569"/>
        <w:gridCol w:w="1984"/>
        <w:gridCol w:w="1134"/>
        <w:gridCol w:w="1843"/>
        <w:gridCol w:w="1134"/>
        <w:gridCol w:w="1276"/>
      </w:tblGrid>
      <w:tr w:rsidR="000724B1">
        <w:trPr>
          <w:trHeight w:val="308"/>
        </w:trPr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Разделы классификации</w:t>
            </w:r>
          </w:p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расходов бюджета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 год (ожидаемое)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 2025 года к 2024</w:t>
            </w:r>
          </w:p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году (в %)</w:t>
            </w:r>
          </w:p>
        </w:tc>
      </w:tr>
      <w:tr w:rsidR="000724B1">
        <w:trPr>
          <w:trHeight w:val="1037"/>
        </w:trPr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598 496,57768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617 839,90000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7 398,57000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7 716,23000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69 315,64000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57 643,50000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0724B1">
        <w:trPr>
          <w:trHeight w:val="557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303 156,64325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240 911,95000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1 811 536,79310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1 620 759,80000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29 832,08000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278,70000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7 282 045,53961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2 848 629,05000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39,1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и туризм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222 699,86399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211 708,22000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161 153,65800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112 072,56300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69,5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161 297,90000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280 513,70000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173,9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17 200,00000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14 546,00000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Обслуживание государственного  (муниципального) долга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10 367,30000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59 086,26000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свыше 200%</w:t>
            </w:r>
          </w:p>
        </w:tc>
      </w:tr>
      <w:tr w:rsidR="000724B1">
        <w:trPr>
          <w:trHeight w:val="20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10 674 500,56563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6 071 705,87300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56,9</w:t>
            </w:r>
          </w:p>
        </w:tc>
      </w:tr>
    </w:tbl>
    <w:p w:rsidR="000724B1" w:rsidRDefault="000724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pacing w:val="3"/>
          <w:sz w:val="24"/>
          <w:szCs w:val="24"/>
          <w:lang w:eastAsia="ru-RU"/>
        </w:rPr>
      </w:pPr>
    </w:p>
    <w:tbl>
      <w:tblPr>
        <w:tblW w:w="994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1843"/>
        <w:gridCol w:w="1134"/>
        <w:gridCol w:w="851"/>
        <w:gridCol w:w="1842"/>
        <w:gridCol w:w="993"/>
        <w:gridCol w:w="992"/>
      </w:tblGrid>
      <w:tr w:rsidR="000724B1">
        <w:trPr>
          <w:cantSplit/>
          <w:trHeight w:val="248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Разделы классификации расходов бюджета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</w:t>
            </w:r>
          </w:p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2026/  2025       (в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Темп роста</w:t>
            </w:r>
          </w:p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2027/ 2026</w:t>
            </w:r>
          </w:p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(в %)</w:t>
            </w:r>
          </w:p>
        </w:tc>
      </w:tr>
      <w:tr w:rsidR="000724B1">
        <w:trPr>
          <w:cantSplit/>
          <w:trHeight w:val="1065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Доля в общем объеме расходов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4B1" w:rsidRPr="00E9204A">
        <w:trPr>
          <w:cantSplit/>
          <w:trHeight w:val="2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569 674,75300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553 716,96400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0724B1" w:rsidRPr="00E9204A">
        <w:trPr>
          <w:cantSplit/>
          <w:trHeight w:val="2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8 051,94000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8 351,49000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103,7</w:t>
            </w:r>
          </w:p>
        </w:tc>
      </w:tr>
      <w:tr w:rsidR="000724B1" w:rsidRPr="00E9204A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57 643,50000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57 643,50000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724B1" w:rsidRPr="00E9204A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176 417,50000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177 877,50000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0724B1" w:rsidRPr="00E9204A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1 497 925,28700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1 178 437,89600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0724B1" w:rsidRPr="00E9204A">
        <w:trPr>
          <w:cantSplit/>
          <w:trHeight w:val="2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278,70000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278,70000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724B1" w:rsidRPr="00E9204A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tabs>
                <w:tab w:val="left" w:pos="6521"/>
              </w:tabs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2 661 775,80000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93,4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2 533 130,40000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0724B1" w:rsidRPr="00E9204A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и туризм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201 512,06000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197 180,70000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0724B1" w:rsidRPr="00E9204A">
        <w:trPr>
          <w:cantSplit/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129 080,76300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101 199,37200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0724B1" w:rsidRPr="00E9204A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211 042,10000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211 927,10000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0724B1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15 128,00000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15 773,00000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0724B1">
        <w:trPr>
          <w:cantSplit/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Обслуживание государственного  (муниципального) долга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67 910,73000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114,9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75 811,15000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111,6</w:t>
            </w:r>
          </w:p>
        </w:tc>
      </w:tr>
      <w:tr w:rsidR="000724B1">
        <w:trPr>
          <w:cantSplit/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5 596 441,13300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5 111 327,77200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91,3</w:t>
            </w:r>
          </w:p>
        </w:tc>
      </w:tr>
    </w:tbl>
    <w:p w:rsidR="000724B1" w:rsidRDefault="000724B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9204A">
        <w:rPr>
          <w:rFonts w:ascii="Times New Roman" w:hAnsi="Times New Roman"/>
          <w:color w:val="000000"/>
          <w:sz w:val="24"/>
          <w:szCs w:val="24"/>
        </w:rPr>
        <w:t xml:space="preserve">В 2025 году 57,1 процента расходов бюджета городского округа Лобня </w:t>
      </w:r>
      <w:r w:rsidRPr="00E9204A">
        <w:rPr>
          <w:rFonts w:ascii="Times New Roman" w:hAnsi="Times New Roman"/>
          <w:color w:val="000000"/>
          <w:sz w:val="24"/>
          <w:szCs w:val="24"/>
        </w:rPr>
        <w:br/>
        <w:t xml:space="preserve">или  3 467 469,533000 тыс. рублей составят расходы на социально-культурную сферу </w:t>
      </w:r>
      <w:r w:rsidRPr="00E9204A">
        <w:rPr>
          <w:rFonts w:ascii="Times New Roman" w:hAnsi="Times New Roman"/>
          <w:color w:val="000000"/>
          <w:sz w:val="24"/>
          <w:szCs w:val="24"/>
        </w:rPr>
        <w:br/>
        <w:t>(на образование, культуру</w:t>
      </w:r>
      <w:r>
        <w:rPr>
          <w:rFonts w:ascii="Times New Roman" w:hAnsi="Times New Roman"/>
          <w:color w:val="000000"/>
          <w:sz w:val="24"/>
          <w:szCs w:val="24"/>
        </w:rPr>
        <w:t xml:space="preserve"> и туризм, физическую культуру и спорт, здравоохранение, социальную политику, средства массовой информации).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социальные приоритеты бюджетной политики в 2025 - 2027 годах: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обеспечение обязательств в сфере образования, культуры и туризма, физической культуры и спорта с учетом определения объема гарантированных муниципальных услуг </w:t>
      </w:r>
      <w:r>
        <w:rPr>
          <w:rFonts w:ascii="Times New Roman" w:hAnsi="Times New Roman"/>
          <w:sz w:val="24"/>
          <w:szCs w:val="24"/>
        </w:rPr>
        <w:br/>
        <w:t>в данных сферах;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реализации первоочередных задач социальной сферы, поставленных </w:t>
      </w:r>
      <w:r>
        <w:rPr>
          <w:rFonts w:ascii="Times New Roman" w:hAnsi="Times New Roman"/>
          <w:sz w:val="24"/>
          <w:szCs w:val="24"/>
        </w:rPr>
        <w:br/>
        <w:t xml:space="preserve">в указах Президента Российской Федерации от 07.05.2012 года № 597 «О мероприятиях </w:t>
      </w:r>
      <w:r>
        <w:rPr>
          <w:rFonts w:ascii="Times New Roman" w:hAnsi="Times New Roman"/>
          <w:sz w:val="24"/>
          <w:szCs w:val="24"/>
        </w:rPr>
        <w:br/>
        <w:t>по реализации государственной социальной политики».</w:t>
      </w:r>
    </w:p>
    <w:p w:rsidR="000724B1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Дальнейшая реализация программно-целевого принципа планирования бюджета города повышает обоснованность бюджетных ассигнований, обеспечивает их большую прозрачность для общества и наличие более широких возможностей для оценки их эффективности.</w:t>
      </w:r>
    </w:p>
    <w:p w:rsidR="000724B1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2025 год расходы бюджета в объеме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6 011 916,47300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тыс. рублей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сформированы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рамках 19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муниципальных программ, удельный вес программных расходов в общем объеме всех расходов бюджета составляет 99,0 процентов.</w:t>
      </w:r>
    </w:p>
    <w:p w:rsidR="000724B1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2026 год программные расходы бюджета города определены в объеме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5 548 651,73300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тыс. рублей или 99,1 процентов, на 2027 год –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5 063 538,37200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тыс. рублей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br/>
        <w:t>или 99,1 процентов в общем объеме расходов.</w:t>
      </w:r>
    </w:p>
    <w:p w:rsidR="000724B1" w:rsidRDefault="009B434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Расходы бюджета городского округа Лобня на 2025-2027 годы в рамках муниципальных программ сложились следующим образом:</w:t>
      </w:r>
    </w:p>
    <w:p w:rsidR="000724B1" w:rsidRDefault="000724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851"/>
        <w:gridCol w:w="1701"/>
        <w:gridCol w:w="850"/>
        <w:gridCol w:w="1701"/>
        <w:gridCol w:w="851"/>
      </w:tblGrid>
      <w:tr w:rsidR="000724B1">
        <w:trPr>
          <w:cantSplit/>
          <w:trHeight w:val="227"/>
        </w:trPr>
        <w:tc>
          <w:tcPr>
            <w:tcW w:w="22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2"/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5103" w:type="dxa"/>
            <w:gridSpan w:val="4"/>
            <w:tcMar>
              <w:left w:w="57" w:type="dxa"/>
              <w:right w:w="57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уд. вес в общем объеме расхо-дов    (%)</w:t>
            </w:r>
          </w:p>
        </w:tc>
        <w:tc>
          <w:tcPr>
            <w:tcW w:w="2551" w:type="dxa"/>
            <w:gridSpan w:val="2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0724B1">
        <w:trPr>
          <w:cantSplit/>
          <w:trHeight w:val="1422"/>
        </w:trPr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:rsidR="000724B1" w:rsidRDefault="000724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уд. вес в общем объеме расхо-дов</w:t>
            </w:r>
          </w:p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</w:t>
            </w:r>
          </w:p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уд. вес в общем объеме расхо-дов</w:t>
            </w:r>
          </w:p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(%)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Муниципальная программа «Здравоохранение»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«Культура и туризм»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276 100,52000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265 904,36000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4,75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261 573,00000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5,12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«Образование»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2 609 959,00000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2 603 875,50000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46,53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2 475 083,1000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48,42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«Социальная защита населения»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78 236,78000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76 934,08000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76 130,08000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«Спорт»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211 013,70000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3,47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211 042,10000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3,77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211 927,10000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4,14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1 918,00000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1 930,00000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1 942,00000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«Экология и окружающая среда»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2 583,70000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2 633,70000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2 683,70000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79 560,78000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79 560,78000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79 560,78000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«Жилище»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19 052,78300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38 106,68300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11 176,29200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</w:t>
            </w:r>
            <w:bookmarkStart w:id="2" w:name="_Hlk11813479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инженерной инфраструктуры, энергоэффективности и отрасли обращения с отходами</w:t>
            </w:r>
            <w:bookmarkEnd w:id="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100 248,20000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5 040,00000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3 294,00000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0724B1" w:rsidRPr="00E9204A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596 945,16000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9,83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523 741,43000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9,36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516 641,85000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Pr="00E9204A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04A">
              <w:rPr>
                <w:rFonts w:ascii="Times New Roman" w:hAnsi="Times New Roman"/>
                <w:sz w:val="24"/>
                <w:szCs w:val="24"/>
                <w:lang w:eastAsia="ru-RU"/>
              </w:rPr>
              <w:t>10,11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30 742,23000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33 042,99300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32 634,75400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bookmarkStart w:id="3" w:name="_Hlk2092400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«Развитие и функционирование дорожно-транспортного комплекса»                </w:t>
            </w:r>
            <w:bookmarkEnd w:id="3"/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225 766,95000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3,72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163 579,00000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164 989,00000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3,23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«Цифровое муниципальное образование»                                   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86 998,00000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1,43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83 443,50000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83 838,50000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1,64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1 000,00000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«Формирование современной комфортной городской среды»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1 429 982,92000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23,55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1 432 168,30700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25,59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1 138 282,21600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22,27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249 434,75000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4,11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shd w:val="clear" w:color="000000" w:fill="FFFFFF"/>
            <w:vAlign w:val="center"/>
          </w:tcPr>
          <w:p w:rsidR="000724B1" w:rsidRDefault="009B43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10 473,00000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24 749,30000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882,00000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программам: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6 011 916,47300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99,02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5 548 651,73300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99,15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5 063 538,37200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99,07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</w:tcPr>
          <w:p w:rsidR="000724B1" w:rsidRDefault="009B43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непрограммных расходов: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59 789,40000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47 789,40000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47 789,40000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0,93</w:t>
            </w:r>
          </w:p>
        </w:tc>
      </w:tr>
      <w:tr w:rsidR="000724B1">
        <w:trPr>
          <w:cantSplit/>
          <w:trHeight w:val="227"/>
        </w:trPr>
        <w:tc>
          <w:tcPr>
            <w:tcW w:w="2268" w:type="dxa"/>
            <w:vAlign w:val="center"/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6 071 705,87300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5 596 441,13300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5 111 327,77200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0724B1" w:rsidRDefault="009B4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</w:tr>
    </w:tbl>
    <w:p w:rsidR="000724B1" w:rsidRDefault="00072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Приоритетным направлением бюджетной политики в сфере здравоохранения является создание условий для оказания медицинской помощи населению на территории городского округа Лобня в соответствии с территориальной программой государственных гарантий бесплатного оказания гражданам медицинской помощи. В рамках муниципальной программы </w:t>
      </w:r>
      <w:r>
        <w:rPr>
          <w:rFonts w:ascii="Times New Roman" w:hAnsi="Times New Roman"/>
          <w:bCs/>
          <w:sz w:val="24"/>
          <w:szCs w:val="24"/>
        </w:rPr>
        <w:t>«Здравоохранение»</w:t>
      </w:r>
      <w:r>
        <w:rPr>
          <w:rFonts w:ascii="Times New Roman" w:hAnsi="Times New Roman"/>
          <w:sz w:val="24"/>
          <w:szCs w:val="24"/>
        </w:rPr>
        <w:t xml:space="preserve"> предусмотрены расходы на развитие мер социальной поддержки медицинских работников,</w:t>
      </w:r>
      <w:r>
        <w:rPr>
          <w:rFonts w:ascii="Times New Roman" w:hAnsi="Times New Roman"/>
          <w:color w:val="000000"/>
          <w:sz w:val="24"/>
          <w:szCs w:val="24"/>
        </w:rPr>
        <w:t xml:space="preserve"> направленные на привлечение медицинских кадров </w:t>
      </w:r>
      <w:r>
        <w:rPr>
          <w:rFonts w:ascii="Times New Roman" w:hAnsi="Times New Roman"/>
          <w:color w:val="000000"/>
          <w:sz w:val="24"/>
          <w:szCs w:val="24"/>
        </w:rPr>
        <w:br/>
        <w:t>в государственные учреждения здравоохранения</w:t>
      </w:r>
      <w:r>
        <w:rPr>
          <w:rFonts w:ascii="Times New Roman" w:hAnsi="Times New Roman"/>
          <w:sz w:val="24"/>
          <w:szCs w:val="24"/>
        </w:rPr>
        <w:t xml:space="preserve">: в 2025 – 2027 годах – </w:t>
      </w:r>
      <w:r>
        <w:rPr>
          <w:rFonts w:ascii="Times New Roman" w:hAnsi="Times New Roman"/>
          <w:color w:val="000000"/>
          <w:sz w:val="24"/>
          <w:szCs w:val="24"/>
        </w:rPr>
        <w:t>900,00000 тыс</w:t>
      </w:r>
      <w:r>
        <w:rPr>
          <w:rFonts w:ascii="Times New Roman" w:hAnsi="Times New Roman"/>
          <w:sz w:val="24"/>
          <w:szCs w:val="24"/>
        </w:rPr>
        <w:t>. рублей ежегодно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Приоритетными направлениями в сфере культуры городского округа являются: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формирование единого культурного пространства, укрепление нравственных ценностей, сохранение, пополнение и популяризация объектов культурного наследия города;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создание равных условий доступа к культурным ценностям и информационным ресурсам для жителей города;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обеспечение многообразия и высокого качества услуг культуры населению;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создание и продвижение культурных брендов города.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достижения этих целей на территории городского округа действует 11 учреждений: 4 учреждений клубного типа, 1 библиотека, 2 музейно - выставочных учреждения, 2 театра,                 1 парк культуры.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реализацию муниципальной программы «Культура и туризм» предусматриваются средства: в 2025 году – 276 100,52000 тыс. рублей, в 2026 году – 265 904,36000 тыс. рублей            в 2027 году – 261 573,00000 тыс. рублей.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рамках программы планируются денежные средства на финансовое обеспечение выполнения муниципальных заданий и содержание учреждений сферы культуры городского округа Лобня в 2025 году – 199 137,74000 тыс. рублей, в 2026 году 108 842,40000 тыс. рублей </w:t>
      </w:r>
      <w:r>
        <w:rPr>
          <w:rFonts w:ascii="Times New Roman" w:hAnsi="Times New Roman"/>
          <w:sz w:val="24"/>
          <w:szCs w:val="24"/>
        </w:rPr>
        <w:br/>
        <w:t>и в 2027 году - 190 138,70000;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организацию и проведение городских мероприятий в 2025 году – </w:t>
      </w:r>
      <w:r>
        <w:rPr>
          <w:rFonts w:ascii="Times New Roman" w:hAnsi="Times New Roman"/>
          <w:sz w:val="24"/>
          <w:szCs w:val="24"/>
        </w:rPr>
        <w:br/>
        <w:t xml:space="preserve">7 597,00000 тыс. рублей, в 2026-2027 годах – 6 397,00000 тыс. рублей ежегодно за счет средств местного бюджета. 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Предусмотрена поддержка на комплектование книжных фондов муниципальных общедоступных библиотек 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2025 году </w:t>
      </w:r>
      <w:bookmarkStart w:id="4" w:name="_Hlk88399088"/>
      <w:r>
        <w:rPr>
          <w:rFonts w:ascii="Times New Roman" w:hAnsi="Times New Roman"/>
          <w:sz w:val="24"/>
          <w:szCs w:val="24"/>
        </w:rPr>
        <w:t xml:space="preserve">– 4 328,48000 </w:t>
      </w:r>
      <w:bookmarkEnd w:id="4"/>
      <w:r>
        <w:rPr>
          <w:rFonts w:ascii="Times New Roman" w:hAnsi="Times New Roman"/>
          <w:sz w:val="24"/>
          <w:szCs w:val="24"/>
        </w:rPr>
        <w:t xml:space="preserve">тыс. рублей, в 2026 году – </w:t>
      </w:r>
      <w:r>
        <w:rPr>
          <w:rFonts w:ascii="Times New Roman" w:hAnsi="Times New Roman"/>
          <w:sz w:val="24"/>
          <w:szCs w:val="24"/>
        </w:rPr>
        <w:br/>
        <w:t xml:space="preserve">4 331,36000 тыс. рублей, в том числе: за счет средств бюджета Московской области в 2025 году – 1 485,36000 тыс. рублей, в 2026 году – 1 615,59000 тыс. рублей; за счет средств Федерального бюджета в 2025 году – 1 743,68000 тыс. рублей, в 2026 году – 719,00000 тыс. рублей. </w:t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обеспечение функций МБУ ДО «Школа искусств города Лобня» в 2025-2027 годах – 64 427,30000 тыс. рублей за счет средств местного бюджета.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Основными целями </w:t>
      </w:r>
      <w:r>
        <w:rPr>
          <w:rFonts w:ascii="Times New Roman" w:hAnsi="Times New Roman"/>
          <w:sz w:val="24"/>
          <w:szCs w:val="24"/>
        </w:rPr>
        <w:t>муниципальной программы «</w:t>
      </w:r>
      <w:r>
        <w:rPr>
          <w:rFonts w:ascii="Times New Roman" w:hAnsi="Times New Roman"/>
          <w:bCs/>
          <w:sz w:val="24"/>
          <w:szCs w:val="24"/>
          <w:lang w:eastAsia="ru-RU"/>
        </w:rPr>
        <w:t>Образование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являются обеспечение доступности качественного образования и успешной</w:t>
      </w:r>
      <w:r>
        <w:rPr>
          <w:rFonts w:ascii="Times New Roman" w:hAnsi="Times New Roman"/>
          <w:color w:val="000000"/>
          <w:sz w:val="24"/>
          <w:szCs w:val="24"/>
        </w:rPr>
        <w:t xml:space="preserve"> социализации детей и молодёжи, удовлетворение потребности экономики Московской области в кадрах высокой квалификации.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Приоритетными направлениями в сфере образования городского округа являются: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 о</w:t>
      </w:r>
      <w:r>
        <w:rPr>
          <w:rFonts w:ascii="Times New Roman" w:hAnsi="Times New Roman"/>
          <w:sz w:val="24"/>
          <w:szCs w:val="24"/>
        </w:rPr>
        <w:t>беспечение доступности и высокого качества услуг дошкольного образования;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обеспечение доступности и высокого качества услуг общего образования </w:t>
      </w:r>
      <w:r>
        <w:rPr>
          <w:rFonts w:ascii="Times New Roman" w:hAnsi="Times New Roman"/>
          <w:sz w:val="24"/>
          <w:szCs w:val="24"/>
        </w:rPr>
        <w:br/>
        <w:t xml:space="preserve">в соответствии с потребностями граждан и требованиями инновационного развития, </w:t>
      </w:r>
      <w:r>
        <w:rPr>
          <w:rFonts w:ascii="Times New Roman" w:hAnsi="Times New Roman"/>
          <w:sz w:val="24"/>
          <w:szCs w:val="24"/>
        </w:rPr>
        <w:br/>
        <w:t>не зависимо от социального и материального положения семей и состояния здоровья обучающихся;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обеспечение качества, доступности и эффективности дополнительного образования,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обеспечение эффективного управления функционированием и развитием системы образования.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реализацию муниципальной программы «</w:t>
      </w:r>
      <w:r>
        <w:rPr>
          <w:rFonts w:ascii="Times New Roman" w:hAnsi="Times New Roman"/>
          <w:bCs/>
          <w:sz w:val="24"/>
          <w:szCs w:val="24"/>
          <w:lang w:eastAsia="ru-RU"/>
        </w:rPr>
        <w:t>Образование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предусматриваются средства: </w:t>
      </w:r>
      <w:r>
        <w:rPr>
          <w:rFonts w:ascii="Times New Roman" w:hAnsi="Times New Roman"/>
          <w:sz w:val="24"/>
          <w:szCs w:val="24"/>
        </w:rPr>
        <w:t xml:space="preserve">в 2025 году - 2 609 959,00000 тыс. рублей; в 2026 году - 2 603 875,50000 тыс. рублей; </w:t>
      </w:r>
      <w:r>
        <w:rPr>
          <w:rFonts w:ascii="Times New Roman" w:hAnsi="Times New Roman"/>
          <w:sz w:val="24"/>
          <w:szCs w:val="24"/>
        </w:rPr>
        <w:br/>
        <w:t>в 2027 году – 2 475 083,10000 тыс. рублей.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составе основных расходов предусмотрены субсидии муниципальным учреждениям </w:t>
      </w:r>
      <w:r>
        <w:rPr>
          <w:rFonts w:ascii="Times New Roman" w:hAnsi="Times New Roman"/>
          <w:sz w:val="24"/>
          <w:szCs w:val="24"/>
        </w:rPr>
        <w:br/>
        <w:t xml:space="preserve">и частным организациям: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финансовое обеспечение выполнения муниципальных заданий и содержание учреждений сферы образования городского округа Лобня 2 251 493,98000 тыс. рублей ежегодно, в том числе: </w:t>
      </w:r>
    </w:p>
    <w:p w:rsidR="000724B1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- 1 551 400,30000 тыс. рублей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</w:t>
      </w:r>
      <w:r>
        <w:rPr>
          <w:rFonts w:ascii="Times New Roman" w:hAnsi="Times New Roman"/>
          <w:sz w:val="24"/>
          <w:szCs w:val="24"/>
        </w:rPr>
        <w:br/>
        <w:t>в муниципальных общеобразовательных организациях;</w:t>
      </w:r>
    </w:p>
    <w:p w:rsidR="000724B1" w:rsidRDefault="009B434A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- 463 962,18000 тыс. рублей на обеспечение деятельности (оказание услуг) муниципальных учреждений дошкольного образования, начального общего, основного общего, среднего общего образования, дополнительного образования детей;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- 59 280,00000 тыс. рублей на профессиональную физическую охрану муниципальных учреждений образования;            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- 52 600,00000 тыс. рублей на укрепление материально-технической базы, проведение ремонта и мероприятий по подготовке к отопительному сезону муниципальных учреждений образования;</w:t>
      </w:r>
    </w:p>
    <w:p w:rsidR="000724B1" w:rsidRDefault="009B434A">
      <w:pPr>
        <w:shd w:val="clear" w:color="auto" w:fill="FFFFFF"/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- 7 215,00000 тыс. рублей на выплаты пособий и доплат педагогическим работникам муниципальных дошкольных и общеобразовательных организаций - молодым специалистам;</w:t>
      </w:r>
    </w:p>
    <w:p w:rsidR="000724B1" w:rsidRDefault="009B434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- 6 839,00000 тыс. рублей на выплаты компенсаций работникам, привлекаемым </w:t>
      </w:r>
      <w:r>
        <w:rPr>
          <w:rFonts w:ascii="Times New Roman" w:hAnsi="Times New Roman"/>
          <w:sz w:val="24"/>
          <w:szCs w:val="24"/>
        </w:rPr>
        <w:br/>
        <w:t xml:space="preserve">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</w:t>
      </w:r>
      <w:r>
        <w:rPr>
          <w:rFonts w:ascii="Times New Roman" w:hAnsi="Times New Roman"/>
          <w:sz w:val="24"/>
          <w:szCs w:val="24"/>
        </w:rPr>
        <w:br/>
        <w:t>за работу по подготовке и проведению государственной итоговой аттестации;</w:t>
      </w:r>
    </w:p>
    <w:p w:rsidR="000724B1" w:rsidRDefault="009B434A">
      <w:pPr>
        <w:shd w:val="clear" w:color="auto" w:fill="FFFFFF"/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- 93 001,00000 тыс. рублей на выплаты ежемесячных доплат за напряженный труд работникам муниципальных дошкольных и общеобразовательных;</w:t>
      </w:r>
    </w:p>
    <w:p w:rsidR="000724B1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- 6 169,70000 тыс. рублей на обеспечение горячим питанием обучающихся </w:t>
      </w:r>
      <w:r>
        <w:rPr>
          <w:rFonts w:ascii="Times New Roman" w:hAnsi="Times New Roman"/>
          <w:sz w:val="24"/>
          <w:szCs w:val="24"/>
        </w:rPr>
        <w:br/>
        <w:t>в специальной (коррекционной) общеобразовательной школе и обучающихся с ограниченными возможностями здоровья, получающих образование на дому;</w:t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- 11 026,80000 тыс. рублей на мероприятия в области образования; </w:t>
      </w:r>
    </w:p>
    <w:p w:rsidR="000724B1" w:rsidRDefault="009B434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ежемесячное денежное вознаграждение за классное руководство педагогическим работникам в рамках Федерального проекта «Педагоги и наставники» в 2025-2026 годах –                   37 732,00000 тыс. рублей ежегодно;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организацию питания обучающихся в муниципальных общеобразовательных организациях в Московской области в 2025-2027 годах – 62 945,00000 тыс. рублей ежегодно; </w:t>
      </w:r>
    </w:p>
    <w:p w:rsidR="000724B1" w:rsidRDefault="009B434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организацию бесплатного горячего питания обучающихся, получающих начальное общее образование в муниципальных образовательных организациях в 2025 году – </w:t>
      </w:r>
      <w:r>
        <w:rPr>
          <w:rFonts w:ascii="Times New Roman" w:hAnsi="Times New Roman"/>
          <w:sz w:val="24"/>
          <w:szCs w:val="24"/>
        </w:rPr>
        <w:br/>
        <w:t xml:space="preserve">87 997,70000 тыс. рублей, в 2026 году – 87 009,60000 тыс. рублей;    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внедрение и обеспечение функционирования модели персонифицированного финансирования дополнительного образования детей в 2025-2027 годах – </w:t>
      </w:r>
      <w:r>
        <w:rPr>
          <w:rFonts w:ascii="Times New Roman" w:hAnsi="Times New Roman"/>
          <w:sz w:val="24"/>
          <w:szCs w:val="24"/>
        </w:rPr>
        <w:br/>
        <w:t>18 000,00000 тыс. рублей ежегодно;</w:t>
      </w:r>
    </w:p>
    <w:p w:rsidR="000724B1" w:rsidRDefault="009B434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                   в 2025-2027 годах – 38 989,00000 тыс. рублей ежегодно;</w:t>
      </w:r>
    </w:p>
    <w:p w:rsidR="000724B1" w:rsidRDefault="009B434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обеспечение питанием отдельных категорий, обучающихся по очной форме обучения             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2025-2027 годах – 933,00000 тыс. рублей ежегодно;</w:t>
      </w:r>
      <w:r>
        <w:tab/>
      </w:r>
    </w:p>
    <w:p w:rsidR="000724B1" w:rsidRDefault="009B434A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на государственную поддержку частных дошкольных образовательных организаций, частных общеобразовательных организаций с целью возмещения расходов на присмотр и уход, содержание имущества и арендную плату за использование помещений в 2025-2027 годах – 18 806,00000 тыс. рублей ежегодно;</w:t>
      </w:r>
    </w:p>
    <w:p w:rsidR="000724B1" w:rsidRDefault="009B434A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компенсацию проезда к месту учебы и обратно отдельным категориям обучающихся </w:t>
      </w:r>
      <w:r>
        <w:rPr>
          <w:rFonts w:ascii="Times New Roman" w:hAnsi="Times New Roman"/>
          <w:sz w:val="24"/>
          <w:szCs w:val="24"/>
        </w:rPr>
        <w:br/>
        <w:t xml:space="preserve">по очной форме обучения муниципальных общеобразовательных организаций </w:t>
      </w:r>
      <w:r>
        <w:rPr>
          <w:rFonts w:ascii="Times New Roman" w:hAnsi="Times New Roman"/>
          <w:sz w:val="24"/>
          <w:szCs w:val="24"/>
        </w:rPr>
        <w:br/>
        <w:t>в 2025-2027 годах – 65,00000 тыс. рублей ежегодно;</w:t>
      </w:r>
    </w:p>
    <w:p w:rsidR="000724B1" w:rsidRDefault="009B434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выплату компенсации родительской платы за присмотр и уход за детьми, осваивающими образовательные программы дошкольного образования в 2025-2027 годах –       33 633,00000 тыс. рублей ежегодно;</w:t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проведение мероприятий по обеспечению деятельности советников директора                    по воспитанию и взаимодействию с детскими общественными объединениями в рамках Федерального проекта «Педагоги и наставники» в 2025 году – 3 351,10000 тыс. рублей;                 в 2026 году – 4 050,80000 тыс. рублей;</w:t>
      </w:r>
    </w:p>
    <w:p w:rsidR="000724B1" w:rsidRDefault="009B434A">
      <w:pPr>
        <w:shd w:val="clear" w:color="auto" w:fill="FFFFFF"/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2025 году – </w:t>
      </w:r>
      <w:r>
        <w:rPr>
          <w:rFonts w:ascii="Times New Roman" w:hAnsi="Times New Roman"/>
          <w:sz w:val="24"/>
          <w:szCs w:val="24"/>
        </w:rPr>
        <w:br/>
        <w:t>3 994,00000 тыс. рублей за счет средств бюджета Московской области;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укрепление материально-технической базы и проведение текущего ремонта учреждений образования (современная школа) в 2025-2027 годах – 6 000,00000 тыс. рублей ежегодно;</w:t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образования, в 2025-2027 годах – 800,00000 тыс. рублей ежегодно;</w:t>
      </w:r>
      <w:r>
        <w:rPr>
          <w:rFonts w:ascii="Times New Roman" w:hAnsi="Times New Roman"/>
          <w:sz w:val="24"/>
          <w:szCs w:val="24"/>
        </w:rPr>
        <w:tab/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выплату именных стипендий Главы городского округа Лобня выпускникам образовательных учреждений, награжденных медалями «За успехи в учебе», серебряным медалистам и детям, проявившим выдающиеся способности в учебе, творчестве, спорте              в 2025-2027 годах - 1 900,00000 тыс. рублей ежегодно;</w:t>
      </w:r>
    </w:p>
    <w:p w:rsidR="000724B1" w:rsidRDefault="009B434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обеспечение деятельности органов местного самоуправления и обеспечение деятельности прочих учреждений образования в 2025 году – 42 627,22000 тыс. рублей;                 в 2026-2027 годах - 40 826,12000 тыс. рублей ежегодно;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мероприятия в области образования в 2025-2027 годах - 692,00000 тыс. рублей ежегодно.</w:t>
      </w:r>
    </w:p>
    <w:p w:rsidR="000724B1" w:rsidRDefault="000724B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724B1" w:rsidRDefault="009B434A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Основными целями муниципальной программы «Социальная защита населения» являются повышение качества уровня жизни граждан, нуждающихся в социальной поддержке, развитие «доступной среды» для инвалидов и маломобильных групп населения.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реализацию муниципальной программы «Социальная защита населения» предусматриваются средства в сумме: </w:t>
      </w:r>
      <w:r w:rsidRPr="00E9204A">
        <w:rPr>
          <w:rFonts w:ascii="Times New Roman" w:hAnsi="Times New Roman"/>
          <w:sz w:val="24"/>
          <w:szCs w:val="24"/>
        </w:rPr>
        <w:t xml:space="preserve">в 2025 году – 78 236,78000 тыс. рублей, в 2026 году – </w:t>
      </w:r>
      <w:r w:rsidRPr="00E9204A">
        <w:rPr>
          <w:rFonts w:ascii="Times New Roman" w:hAnsi="Times New Roman"/>
          <w:sz w:val="24"/>
          <w:szCs w:val="24"/>
        </w:rPr>
        <w:br/>
        <w:t>76 934,08000 тыс. рублей, в 2027 году – 76 130,08000 тыс. рублей.</w:t>
      </w:r>
      <w:r w:rsidRPr="00E9204A">
        <w:t xml:space="preserve"> </w:t>
      </w:r>
      <w:r w:rsidRPr="00E9204A">
        <w:rPr>
          <w:rFonts w:ascii="Times New Roman" w:hAnsi="Times New Roman"/>
          <w:sz w:val="24"/>
          <w:szCs w:val="24"/>
        </w:rPr>
        <w:t>В рамках</w:t>
      </w:r>
      <w:r>
        <w:rPr>
          <w:rFonts w:ascii="Times New Roman" w:hAnsi="Times New Roman"/>
          <w:sz w:val="24"/>
          <w:szCs w:val="24"/>
        </w:rPr>
        <w:t xml:space="preserve"> программы запланировано предоставление доплаты за выслугу лет к трудовой пенсии муниципальным служащим за счет средств местного бюджета в 2025-2027 годах – 10 310,18000 тыс. рублей ежегодно. На оказание единовременной материальной помощи гражданам, оказавшимся </w:t>
      </w:r>
      <w:r>
        <w:rPr>
          <w:rFonts w:ascii="Times New Roman" w:hAnsi="Times New Roman"/>
          <w:sz w:val="24"/>
          <w:szCs w:val="24"/>
        </w:rPr>
        <w:br/>
        <w:t xml:space="preserve">в трудной жизненной ситуации, проведение социально значимых мероприятий предусматриваются  </w:t>
      </w:r>
      <w:r w:rsidRPr="00E9204A">
        <w:rPr>
          <w:rFonts w:ascii="Times New Roman" w:hAnsi="Times New Roman"/>
          <w:sz w:val="24"/>
          <w:szCs w:val="24"/>
        </w:rPr>
        <w:t>средства в 2025 году в  сумме  41 331,60000</w:t>
      </w:r>
      <w:r w:rsidRPr="00E920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9204A">
        <w:rPr>
          <w:rFonts w:ascii="Times New Roman" w:hAnsi="Times New Roman"/>
          <w:sz w:val="24"/>
          <w:szCs w:val="24"/>
        </w:rPr>
        <w:t>тыс. рублей, в 2026 году – 38 238,00000 тыс. рублей, в 2027 году – 38 238,90000 тыс. рублей. На мероприятия по организации отдыха детей в каникулярное время планируется</w:t>
      </w:r>
      <w:r>
        <w:rPr>
          <w:rFonts w:ascii="Times New Roman" w:hAnsi="Times New Roman"/>
          <w:sz w:val="24"/>
          <w:szCs w:val="24"/>
        </w:rPr>
        <w:t xml:space="preserve"> направить </w:t>
      </w:r>
      <w:r>
        <w:rPr>
          <w:rFonts w:ascii="Times New Roman" w:hAnsi="Times New Roman"/>
          <w:sz w:val="24"/>
          <w:szCs w:val="24"/>
        </w:rPr>
        <w:br/>
        <w:t xml:space="preserve">в 2025 году – 17 978,00000 тыс. рублей, в 2026 году – 18 721,00000 тыс. рублей, в 2027 году – 18 868,00000 тыс. рублей. 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Приоритетными направлениями бюджетной политики в сфере физической культуры </w:t>
      </w:r>
      <w:r>
        <w:rPr>
          <w:rFonts w:ascii="Times New Roman" w:hAnsi="Times New Roman"/>
          <w:sz w:val="24"/>
          <w:szCs w:val="24"/>
        </w:rPr>
        <w:br/>
        <w:t xml:space="preserve">и спорта являются вовлечение жителей городского округа Лобня в систематические занятия физической культурой и спортом. </w:t>
      </w:r>
    </w:p>
    <w:p w:rsidR="000724B1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муниципальной программы </w:t>
      </w:r>
      <w:r>
        <w:rPr>
          <w:rFonts w:ascii="Times New Roman" w:hAnsi="Times New Roman"/>
          <w:bCs/>
          <w:sz w:val="24"/>
          <w:szCs w:val="24"/>
        </w:rPr>
        <w:t>«Спорт»</w:t>
      </w:r>
      <w:r>
        <w:rPr>
          <w:rFonts w:ascii="Times New Roman" w:hAnsi="Times New Roman"/>
          <w:sz w:val="24"/>
          <w:szCs w:val="24"/>
        </w:rPr>
        <w:t xml:space="preserve"> предусматриваются средства                в 2025 году 211 013,70000 тыс. рублей, в 2026 году 211 042,10000 тыс. рублей, в 2027 году 211 927,10000 тыс. рублей. В рамках программы планируются денежные средства:</w:t>
      </w:r>
    </w:p>
    <w:p w:rsidR="000724B1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 финансовое обеспечение деятельности (оказание услуг) муниципальных учреждений </w:t>
      </w:r>
      <w:r>
        <w:rPr>
          <w:rFonts w:ascii="Times New Roman" w:hAnsi="Times New Roman"/>
          <w:sz w:val="24"/>
          <w:szCs w:val="24"/>
        </w:rPr>
        <w:br/>
        <w:t xml:space="preserve">в сфере физической культуры и спорта в 2025 году в сумме 94 623,00000 тыс. рублей, </w:t>
      </w:r>
      <w:r>
        <w:rPr>
          <w:rFonts w:ascii="Times New Roman" w:hAnsi="Times New Roman"/>
          <w:sz w:val="24"/>
          <w:szCs w:val="24"/>
        </w:rPr>
        <w:br/>
        <w:t>в 2026 году – 96 196,00000 тыс. рублей, в 2027 году – 96 146,00000 тыс. рублей;</w:t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 на организацию проведения официальных физкультурно-оздоровительных </w:t>
      </w:r>
      <w:r>
        <w:rPr>
          <w:rFonts w:ascii="Times New Roman" w:hAnsi="Times New Roman"/>
          <w:sz w:val="24"/>
          <w:szCs w:val="24"/>
        </w:rPr>
        <w:br/>
        <w:t>и спортивных мероприятий в 2025 году – 10 598,00000 тыс. рублей, в 2026-2027 годах 9 500,00000 тыс. рублей ежегодно;</w:t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на финансовое обеспечение деятельности (оказание услуг) муниципальных учреждений </w:t>
      </w:r>
      <w:r>
        <w:rPr>
          <w:rFonts w:ascii="Times New Roman" w:hAnsi="Times New Roman"/>
          <w:sz w:val="24"/>
          <w:szCs w:val="24"/>
        </w:rPr>
        <w:br/>
        <w:t xml:space="preserve">по подготовке сборных команд и спортивного резерва в 2025 году в сумме </w:t>
      </w:r>
      <w:r>
        <w:rPr>
          <w:rFonts w:ascii="Times New Roman" w:hAnsi="Times New Roman"/>
          <w:sz w:val="24"/>
          <w:szCs w:val="24"/>
        </w:rPr>
        <w:br/>
        <w:t xml:space="preserve">90 526,0000 тыс. рублей, в 2026 году – 91 427,00000 тыс. рублей, в 2027 году – </w:t>
      </w:r>
      <w:r>
        <w:rPr>
          <w:rFonts w:ascii="Times New Roman" w:hAnsi="Times New Roman"/>
          <w:sz w:val="24"/>
          <w:szCs w:val="24"/>
        </w:rPr>
        <w:br/>
        <w:t>92 362,00000 тыс. рублей.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реализацию муниципальной программы «Развитие сельского хозяйства»  предусматриваются средства в 2025 году в сумме 1 918,00000 тыс. рублей, в 2026 году- 1 930,00000 тыс. рублей, в 2027 году - 1 942,00000 тыс. рублей. Для обеспечения эпизоотического и ветеринарно-санитарного благополучия на территории городского округа Лобня в рамках муниципальной программы планируются средства в 2025-2027 годах в объеме 1 607,00000 тыс. рублей ежегодно на организацию мероприятий при осуществлении деятельности по обращению с собаками без владельцев. На проведение мероприятий </w:t>
      </w:r>
      <w:r>
        <w:rPr>
          <w:rFonts w:ascii="Times New Roman" w:hAnsi="Times New Roman"/>
          <w:sz w:val="24"/>
          <w:szCs w:val="24"/>
        </w:rPr>
        <w:br/>
        <w:t xml:space="preserve">по комплексной борьбе с борщевиком Сосновского в 2025 году предусмотрены средства </w:t>
      </w:r>
      <w:r>
        <w:rPr>
          <w:rFonts w:ascii="Times New Roman" w:hAnsi="Times New Roman"/>
          <w:sz w:val="24"/>
          <w:szCs w:val="24"/>
        </w:rPr>
        <w:br/>
        <w:t xml:space="preserve">в сумме 311,00000 тыс. рублей, в 2026 году – 323,00000 тыс. рублей, в 2027 году - </w:t>
      </w:r>
      <w:r>
        <w:rPr>
          <w:rFonts w:ascii="Times New Roman" w:hAnsi="Times New Roman"/>
          <w:sz w:val="24"/>
          <w:szCs w:val="24"/>
        </w:rPr>
        <w:br/>
        <w:t>335,0000 тыс. рублей.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реализацию мероприятий муниципальной программы «</w:t>
      </w:r>
      <w:r>
        <w:rPr>
          <w:rFonts w:ascii="Times New Roman" w:hAnsi="Times New Roman"/>
          <w:bCs/>
          <w:sz w:val="24"/>
          <w:szCs w:val="24"/>
          <w:lang w:eastAsia="ru-RU"/>
        </w:rPr>
        <w:t>Экология и окружающая среда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планируется направить в 2025 году - 2 583,70000 тыс. рублей, в 2026 году – </w:t>
      </w:r>
      <w:r>
        <w:rPr>
          <w:rFonts w:ascii="Times New Roman" w:hAnsi="Times New Roman"/>
          <w:sz w:val="24"/>
          <w:szCs w:val="24"/>
        </w:rPr>
        <w:br/>
        <w:t xml:space="preserve">2 633,70000 тыс. рублей, в 2027 году – 2 683,70000 тыс. рублей. Основными приоритетными </w:t>
      </w:r>
      <w:r>
        <w:rPr>
          <w:rFonts w:ascii="Times New Roman" w:hAnsi="Times New Roman"/>
          <w:sz w:val="24"/>
          <w:szCs w:val="24"/>
        </w:rPr>
        <w:lastRenderedPageBreak/>
        <w:t xml:space="preserve">расходами являются охрана окружающей среды и особо охраняемых природных территорий, лесных участков и зеленых зон города. </w:t>
      </w:r>
    </w:p>
    <w:p w:rsidR="000724B1" w:rsidRDefault="009B434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рамках муниципальной программы предусматриваются средства на эксплуатацию, мониторинг и проведение текущего ремонта гидротехнических сооружений, находящихся </w:t>
      </w:r>
      <w:r>
        <w:rPr>
          <w:rFonts w:ascii="Times New Roman" w:hAnsi="Times New Roman"/>
          <w:sz w:val="24"/>
          <w:szCs w:val="24"/>
        </w:rPr>
        <w:br/>
        <w:t xml:space="preserve">в собственности муниципального образования, в 2025 году – 1 850,00000 тыс. рублей, </w:t>
      </w:r>
      <w:r>
        <w:rPr>
          <w:rFonts w:ascii="Times New Roman" w:hAnsi="Times New Roman"/>
          <w:sz w:val="24"/>
          <w:szCs w:val="24"/>
        </w:rPr>
        <w:br/>
        <w:t>в 2026 году – 1 900,00000 тыс. рублей, в 2027 году – 1 950,00000 тыс. рублей;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бюджетных расходов на 2025 год и плановый период 2026 и 2027 годов на поддержку в сфере обеспечения безопасности населения и борьбы с преступностью </w:t>
      </w:r>
      <w:r>
        <w:rPr>
          <w:rFonts w:ascii="Times New Roman" w:hAnsi="Times New Roman"/>
          <w:sz w:val="24"/>
          <w:szCs w:val="24"/>
        </w:rPr>
        <w:br/>
        <w:t>на территории городского округа Лобня и защиты населения от чрезвычайных ситуаций природного и техногенного характера на территории городского округа Лобня будет осуществляться в соответствии с муниципальной программой «Безопасность и обеспечение безопасности жизнедеятельности населения».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реализацию муниципальной программы «Безопасность и обеспечение безопасности жизнедеятельности населения» из бюджета городского округа Лобня предусматриваются средства в 2025 -2027 годах – 79 560,78000 тыс. рублей, ежегодно.</w:t>
      </w:r>
    </w:p>
    <w:p w:rsidR="000724B1" w:rsidRDefault="009B434A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рамках программы на снижение рисков и смягчение последствий чрезвычайных ситуаций природного и техногенного характера на территории  будет направляться </w:t>
      </w:r>
      <w:r>
        <w:rPr>
          <w:rFonts w:ascii="Times New Roman" w:hAnsi="Times New Roman"/>
          <w:sz w:val="24"/>
          <w:szCs w:val="24"/>
        </w:rPr>
        <w:br/>
        <w:t>в 2025-2027 годах – 500,00000 тыс. рублей ежегодно, на поддержание в постоянной готовности   системы централизованного оповещения населения об опасности в  2025 – 2027 годах - 500,00000 тыс. рублей ежегодно, на обеспечение других мероприятий гражданской обороны</w:t>
      </w:r>
      <w:r>
        <w:rPr>
          <w:rFonts w:ascii="Times New Roman" w:hAnsi="Times New Roman"/>
          <w:sz w:val="24"/>
          <w:szCs w:val="24"/>
        </w:rPr>
        <w:br/>
        <w:t xml:space="preserve"> в 2025 – 2027 годах – 100,00000 тыс. рублей ежегодно, на обеспечение первичных мер пожарной безопасности в 2025 – 2027 годах – 340,00000 тыс. рублей ежегодно, </w:t>
      </w:r>
      <w:bookmarkStart w:id="5" w:name="_Hlk181266669"/>
      <w:r>
        <w:rPr>
          <w:rFonts w:ascii="Times New Roman" w:hAnsi="Times New Roman"/>
          <w:sz w:val="24"/>
          <w:szCs w:val="24"/>
        </w:rPr>
        <w:t>на осуществление мероприятий по обеспечению безопасности людей на водных объектах, охране их жизни и здоровья в 2025-2027 годах в сумме 100,00000 тыс. рублей ежегодно;</w:t>
      </w:r>
    </w:p>
    <w:bookmarkEnd w:id="5"/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обеспечение деятельно</w:t>
      </w:r>
      <w:r w:rsidR="0030342A">
        <w:rPr>
          <w:rFonts w:ascii="Times New Roman" w:hAnsi="Times New Roman"/>
          <w:sz w:val="24"/>
          <w:szCs w:val="24"/>
        </w:rPr>
        <w:t>сти МБУ «ЛГСПУ» в 2025 году - 21</w:t>
      </w:r>
      <w:r>
        <w:rPr>
          <w:rFonts w:ascii="Times New Roman" w:hAnsi="Times New Roman"/>
          <w:sz w:val="24"/>
          <w:szCs w:val="24"/>
        </w:rPr>
        <w:t> 018,28000 тыс. рублей, в 2026 -2027 годах – 21 018,28000 тыс. рублей ежегодно 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2025-2027 годах в сумме 699,00000 тыс. рублей ежегодно за счет средств бюджета Московской области.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развертывание элементов системы технологического обеспечения региональной общественной безопасности и оперативного управления «Безопасный регион» планируется направить в 2025-2027 годах – 32 000,00000 тыс. рублей ежегодно, на профилактику наркомании и токсикомании в 2025 – 2027 годах - 300,00000 тыс. рублей ежегодно.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Основными приоритетами расходов в рамках муниципальной программы «Жилище» является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улучшение жилищных условий отдельных категорий граждан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 реализацию муниципальной программы «Жилище» предусматриваются средства: в 2025 году – 19 052,78300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тыс. рублей, в 2026 году – 38 106,68300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 тыс. рублей, в 2027 году – </w:t>
      </w:r>
      <w:r>
        <w:rPr>
          <w:rFonts w:ascii="Times New Roman" w:hAnsi="Times New Roman"/>
          <w:sz w:val="24"/>
          <w:szCs w:val="24"/>
        </w:rPr>
        <w:br/>
        <w:t>11 176,29200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 тыс. рублей.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предоставление жилых помещений детям-сиротам и детям, оставшимся </w:t>
      </w:r>
      <w:r>
        <w:rPr>
          <w:rFonts w:ascii="Times New Roman" w:hAnsi="Times New Roman"/>
          <w:sz w:val="24"/>
          <w:szCs w:val="24"/>
        </w:rPr>
        <w:br/>
        <w:t xml:space="preserve">без попечения родителей, лицам из их числа, </w:t>
      </w:r>
      <w:bookmarkStart w:id="6" w:name="_Hlk181206506"/>
      <w:r>
        <w:rPr>
          <w:rFonts w:ascii="Times New Roman" w:hAnsi="Times New Roman"/>
          <w:sz w:val="24"/>
          <w:szCs w:val="24"/>
        </w:rPr>
        <w:t xml:space="preserve">запланировано в  2025 году – </w:t>
      </w:r>
      <w:r>
        <w:rPr>
          <w:rFonts w:ascii="Times New Roman" w:hAnsi="Times New Roman"/>
          <w:sz w:val="24"/>
          <w:szCs w:val="24"/>
        </w:rPr>
        <w:br/>
        <w:t xml:space="preserve">6 356,78300 тыс. рублей,  в том числе за  счет средств бюджета Московской области – </w:t>
      </w:r>
      <w:r>
        <w:rPr>
          <w:rFonts w:ascii="Times New Roman" w:hAnsi="Times New Roman"/>
          <w:sz w:val="24"/>
          <w:szCs w:val="24"/>
        </w:rPr>
        <w:br/>
        <w:t xml:space="preserve">5 519,000 тыс. рублей, в 2026 году – 11 875,78300 тыс. рублей, в том числе за счет средств бюджета Московской области – 11 038,00000  тыс. рублей, в 2027 году –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 xml:space="preserve">5 937,89200 тыс. рублей, в том числе за  счет средств бюджета Московской области – </w:t>
      </w:r>
      <w:r>
        <w:rPr>
          <w:rFonts w:ascii="Times New Roman" w:hAnsi="Times New Roman"/>
          <w:sz w:val="24"/>
          <w:szCs w:val="24"/>
        </w:rPr>
        <w:br/>
        <w:t xml:space="preserve">5 519,00000 тыс. рублей. </w:t>
      </w:r>
    </w:p>
    <w:bookmarkEnd w:id="6"/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реализацию мероприятий по обеспечению жильем молодых семей предусматриваются средства в 2026 году в сумме 5 158,90000 тыс. рублей, в 2027 году – 5 238,40000 тыс. рублей. На реализацию мероприятий по улучшению жилищных условий многодетных семей в 2025 году – 12 696,00000 тыс. рублей, в 2026 году – 21 072,00000 тыс. рублей.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Основными приоритетами расходов в рамках муниципальной программы «Развитие инженерной инфраструктуры, энергоэффективности и отрасли обращения с отходами»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являются расходы на строительство и реконструкцию сетей водоснабжения, водоотведения, теплоснабжения муниципальной собственности. На реализацию данной муниципальной программы предусматриваются средства в  2025 году - 100 248,20000</w:t>
      </w:r>
      <w:r>
        <w:rPr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рублей, в том числе за счет средств бюджета Московской области – 70 424,72000 тыс. рублей, в 2026 году – </w:t>
      </w:r>
      <w:r>
        <w:rPr>
          <w:rFonts w:ascii="Times New Roman" w:hAnsi="Times New Roman"/>
          <w:sz w:val="24"/>
          <w:szCs w:val="24"/>
        </w:rPr>
        <w:br/>
        <w:t xml:space="preserve">5 400,00000 тыс. рублей, в том числе за счет средств бюджета Московской области – </w:t>
      </w:r>
      <w:r>
        <w:rPr>
          <w:rFonts w:ascii="Times New Roman" w:hAnsi="Times New Roman"/>
          <w:sz w:val="24"/>
          <w:szCs w:val="24"/>
        </w:rPr>
        <w:br/>
        <w:t xml:space="preserve">1 750,00000 тыс. рублей, 2027 году – 3 294,00000 тыс. рублей: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строительство и реконструкцию сетей водоотведения (ул. Киово, ул. Павлика Морозова, др.) в 2025 году – 99 212,20000 тыс. рублей, в том числе за счет средств бюджета Московской области – 69 674,72000 тыс. рублей;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установку специализированного оборудования (дизель-генераторной установки) </w:t>
      </w:r>
      <w:r>
        <w:rPr>
          <w:rFonts w:ascii="Times New Roman" w:hAnsi="Times New Roman"/>
          <w:sz w:val="24"/>
          <w:szCs w:val="24"/>
        </w:rPr>
        <w:br/>
        <w:t>за счет средств бюджета Московской области в 2025 году – 750,00000 тыс. рублей, в 2026 году -</w:t>
      </w:r>
      <w:r>
        <w:rPr>
          <w:rFonts w:ascii="Times New Roman" w:hAnsi="Times New Roman"/>
          <w:sz w:val="24"/>
          <w:szCs w:val="24"/>
        </w:rPr>
        <w:br/>
        <w:t xml:space="preserve">1 750,00000 тыс. рублей;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организацию в границах городского округа электро-, тепло-, газо- и водоснабжения населения, водоотведения, снабжения населения топливом в 2026 - 2027 годах – </w:t>
      </w:r>
      <w:r>
        <w:rPr>
          <w:rFonts w:ascii="Times New Roman" w:hAnsi="Times New Roman"/>
          <w:sz w:val="24"/>
          <w:szCs w:val="24"/>
        </w:rPr>
        <w:br/>
        <w:t>3 000,00000 тыс. рублей ежегодно;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организацию и проведение мероприятий, предусмотренных законодательством </w:t>
      </w:r>
      <w:r>
        <w:rPr>
          <w:rFonts w:ascii="Times New Roman" w:hAnsi="Times New Roman"/>
          <w:sz w:val="24"/>
          <w:szCs w:val="24"/>
        </w:rPr>
        <w:br/>
        <w:t xml:space="preserve">об энергосбережении и о повышении энергетической эффективности в 2025 - 2027 годах </w:t>
      </w:r>
      <w:r>
        <w:rPr>
          <w:rFonts w:ascii="Times New Roman" w:hAnsi="Times New Roman"/>
          <w:sz w:val="24"/>
          <w:szCs w:val="24"/>
        </w:rPr>
        <w:br/>
        <w:t>200,00000 тыс. рублей ежегодно;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содержание и ремонт шахтных колодцев в 2025 году – 86,00000 тыс. рублей, </w:t>
      </w:r>
      <w:r>
        <w:rPr>
          <w:rFonts w:ascii="Times New Roman" w:hAnsi="Times New Roman"/>
          <w:sz w:val="24"/>
          <w:szCs w:val="24"/>
        </w:rPr>
        <w:br/>
        <w:t>в 2026 году – 90,00000 тыс. рублей, в 2027 году – 94,00000 тыс. рублей.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устойчиво высоких темпов экономического роста, обеспечивающих повышение уровня жизни жителей городского округа Лобня, создание благоприятного инвестиционного климата и условий для повышения производственного потенциала, создание условий для свободы предпринимательства, развития современных форматов торговли, общественного питания и бытовых услуг в муниципальной программе «Предпринимательство»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предусмотрены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расходы в 2025-2027 годах - 1 000,00000 тыс. рублей ежегодно на проведение мероприятий по демонтажу и утилизации объектов, размещение которых не соответствует схеме размещения нестационарных торговых объектов.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эффективности муниципального управления предусматриваются средства                 в муниципальной программе «Управление имуществом и муниципальными финансами» </w:t>
      </w:r>
      <w:r w:rsidRPr="00E9204A">
        <w:rPr>
          <w:rFonts w:ascii="Times New Roman" w:hAnsi="Times New Roman"/>
          <w:sz w:val="24"/>
          <w:szCs w:val="24"/>
        </w:rPr>
        <w:t xml:space="preserve">предусматриваются средства в сумме: в 2025 году в сумме 596 945,16000 тыс. рублей, 2026 году – 523 741,43000 тыс. рублей, в 2027 году – 516 641,85000 тыс. рублей; в том числе расходы </w:t>
      </w:r>
      <w:r w:rsidRPr="00E9204A">
        <w:rPr>
          <w:rFonts w:ascii="Times New Roman" w:hAnsi="Times New Roman"/>
          <w:sz w:val="24"/>
          <w:szCs w:val="24"/>
        </w:rPr>
        <w:br/>
        <w:t xml:space="preserve">на обслуживание муниципального долга составят: в 2024 году – 59 086,26000 тыс. рублей, </w:t>
      </w:r>
      <w:r w:rsidRPr="00E9204A">
        <w:rPr>
          <w:rFonts w:ascii="Times New Roman" w:hAnsi="Times New Roman"/>
          <w:sz w:val="24"/>
          <w:szCs w:val="24"/>
        </w:rPr>
        <w:br/>
        <w:t>в 2026 году – 67 910,73000 тыс. рублей, в 2027 году – 75 811,15000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информирования населения о деятельности органов местного самоуправления городского округа, реализации молодежной политики в рамках муниципальной программы </w:t>
      </w:r>
      <w:r>
        <w:rPr>
          <w:rFonts w:ascii="Times New Roman" w:hAnsi="Times New Roman"/>
          <w:bCs/>
          <w:sz w:val="24"/>
          <w:szCs w:val="24"/>
        </w:rPr>
        <w:lastRenderedPageBreak/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запланировано в 2025 году 30 742,23000 тыс. рублей, в 2026 году – 33 042,99300 тыс. рублей, в 2027 году – 32 634,75400 тыс. рублей.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составе программных расходов предусмотрены средства на информирование населения об основных событиях социально-экономического развития и общественно-политической жизни городского округа в 2025 году – 14 546,00000, в 2026 году - </w:t>
      </w:r>
      <w:r>
        <w:rPr>
          <w:rFonts w:ascii="Times New Roman" w:hAnsi="Times New Roman"/>
          <w:sz w:val="24"/>
          <w:szCs w:val="24"/>
        </w:rPr>
        <w:br/>
        <w:t xml:space="preserve">15 128,00000 тыс. рублей, в 2027 году – 15 773,00000 тыс. рублей.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организацию работы с молодежью объем финансирования в 2025 – 2027 годах составит 8 220,00000 тыс. рублей ежегодно.</w:t>
      </w:r>
    </w:p>
    <w:p w:rsidR="000724B1" w:rsidRDefault="009B434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Сферой реализации муниципальной программы городского округа Лобня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«Развитие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и функционирование дорожно-транспортного комплекса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является дорожная деятельность в отношении автомобильных дорог общего пользования местного значения и дорожных сооружений на территории городского округа. Основными приоритетами расходов являются обеспечение сохранности объектов муниципальной собственности путем проведения ремонтных работ, их контроля и содержание в надлежащем виде, повышение уровня безопасности, развитие современной и эффективной дорожно-транспортной инфраструктуры.</w:t>
      </w:r>
    </w:p>
    <w:p w:rsidR="000724B1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 реализацию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«Развитие и функционирование дорожно-транспортного комплекса» предусматриваются средства: в 2025 году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225 766,95000 тыс. рублей, в 2026 году – 163 579,00000 тыс. рублей, в 2027 году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164 989,00000 тыс. рублей на содержание и ремонт дорог общего пользования, дворовых территорий многоквартирных домов, проездов к дворовым территориям многоквартирных домов и на организацию транспортного обслуживания. 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на реализацию муниципальной программы </w:t>
      </w:r>
      <w:r>
        <w:rPr>
          <w:rFonts w:ascii="Times New Roman" w:hAnsi="Times New Roman"/>
          <w:bCs/>
          <w:sz w:val="24"/>
          <w:szCs w:val="24"/>
        </w:rPr>
        <w:t>«Цифровое муниципальное образование»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запланированы в 2025 году в объеме 86 998,00000 тыс. рублей, </w:t>
      </w:r>
      <w:r>
        <w:rPr>
          <w:rFonts w:ascii="Times New Roman" w:hAnsi="Times New Roman"/>
          <w:sz w:val="24"/>
          <w:szCs w:val="24"/>
        </w:rPr>
        <w:br/>
        <w:t>в 2026 году 83 443,50000 тыс. рублей, в 2027 году 83 838,50000 тыс. рублей.</w:t>
      </w:r>
    </w:p>
    <w:p w:rsidR="000724B1" w:rsidRDefault="009B434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2025 - 2027 годах продолжится реализация мероприятий по развитию в городе системы предоставления государственных и муниципальных услуг по принципу «одного окна». На эти цели предусматривается направить в 2025 году – 77 206,00000 тыс. рублей, </w:t>
      </w:r>
      <w:r>
        <w:rPr>
          <w:rFonts w:ascii="Times New Roman" w:hAnsi="Times New Roman"/>
          <w:sz w:val="24"/>
          <w:szCs w:val="24"/>
        </w:rPr>
        <w:br/>
        <w:t>в 2026 году – 77 586,00000 тыс. рублей, в 2027 году – 77 981,00000 тыс. рублей.</w:t>
      </w:r>
    </w:p>
    <w:p w:rsidR="000724B1" w:rsidRDefault="009B434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повышение деятельности органов местного самоуправления городского округа Лобня с использованием  информационных технологий, оснащение рабочих мест работников ОМСУ муниципального образования современным компьютерным и сетевым оборудованием, организационной техникой, локальными прикладными программными продуктами, общесистемным и прикладным программным обеспечением, приобретение услуг по защите информации и аттестации на соответствие требованиям по безопасности информации информационных средств, приобретение антивирусного программного обеспечения </w:t>
      </w:r>
      <w:r>
        <w:rPr>
          <w:rFonts w:ascii="Times New Roman" w:hAnsi="Times New Roman"/>
          <w:sz w:val="24"/>
          <w:szCs w:val="24"/>
        </w:rPr>
        <w:br/>
        <w:t xml:space="preserve">в 2025 году планируется  направить  средства в  сумме 8 214,00000 тыс. рублей, </w:t>
      </w:r>
      <w:r>
        <w:rPr>
          <w:rFonts w:ascii="Times New Roman" w:hAnsi="Times New Roman"/>
          <w:sz w:val="24"/>
          <w:szCs w:val="24"/>
        </w:rPr>
        <w:br/>
        <w:t>в 2026-2027 годах  - 5 857,50000 тыс. рублей ежегодно.</w:t>
      </w:r>
    </w:p>
    <w:p w:rsidR="000724B1" w:rsidRDefault="009B434A" w:rsidP="008536F5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2025 году по программе предусмотрены средства Управлению образования Администрации городского округа Лобня в сумме 1 578,00000 тыс. рублей на обновление </w:t>
      </w:r>
      <w:r>
        <w:rPr>
          <w:rFonts w:ascii="Times New Roman" w:hAnsi="Times New Roman"/>
          <w:sz w:val="24"/>
          <w:szCs w:val="24"/>
        </w:rPr>
        <w:br/>
        <w:t>и техническое обслуживание (ремонт) средств (программного обеспечения и оборудования), приобретённых в рамках субсидий на реализацию мероприятий федерального проекта «Цифровая образовательная среда» за счет средств местного бюджета.</w:t>
      </w:r>
    </w:p>
    <w:p w:rsidR="00D22564" w:rsidRDefault="009B434A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D22564" w:rsidRDefault="00D22564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22564" w:rsidRDefault="00D22564" w:rsidP="008536F5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8536F5">
        <w:rPr>
          <w:rFonts w:ascii="Times New Roman" w:hAnsi="Times New Roman"/>
          <w:sz w:val="24"/>
          <w:szCs w:val="24"/>
        </w:rPr>
        <w:t xml:space="preserve">        </w:t>
      </w:r>
      <w:bookmarkStart w:id="7" w:name="_GoBack"/>
      <w:bookmarkEnd w:id="7"/>
      <w:r>
        <w:rPr>
          <w:rFonts w:ascii="Times New Roman" w:hAnsi="Times New Roman"/>
          <w:sz w:val="24"/>
          <w:szCs w:val="24"/>
        </w:rPr>
        <w:t>Основными целями муниципальной программы «</w:t>
      </w:r>
      <w:r w:rsidRPr="00D2256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рхитектура и градостроительство» являются о</w:t>
      </w:r>
      <w:r w:rsidRPr="00D22564">
        <w:rPr>
          <w:rFonts w:ascii="Times New Roman" w:hAnsi="Times New Roman"/>
          <w:sz w:val="24"/>
          <w:szCs w:val="24"/>
        </w:rPr>
        <w:t>беспечение мер по ликвидации самовольных, недостроенных и а</w:t>
      </w:r>
      <w:r>
        <w:rPr>
          <w:rFonts w:ascii="Times New Roman" w:hAnsi="Times New Roman"/>
          <w:sz w:val="24"/>
          <w:szCs w:val="24"/>
        </w:rPr>
        <w:t>варийных объектов на территории городского округа Лобня.</w:t>
      </w:r>
    </w:p>
    <w:p w:rsidR="00D22564" w:rsidRDefault="00D22564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536F5">
        <w:rPr>
          <w:rFonts w:ascii="Times New Roman" w:hAnsi="Times New Roman"/>
          <w:sz w:val="24"/>
          <w:szCs w:val="24"/>
        </w:rPr>
        <w:t xml:space="preserve">         На </w:t>
      </w:r>
      <w:r>
        <w:rPr>
          <w:rFonts w:ascii="Times New Roman" w:hAnsi="Times New Roman"/>
          <w:sz w:val="24"/>
          <w:szCs w:val="24"/>
        </w:rPr>
        <w:t>реализацию муниципальной программы «</w:t>
      </w:r>
      <w:r w:rsidRPr="00D22564">
        <w:rPr>
          <w:rFonts w:ascii="Times New Roman" w:hAnsi="Times New Roman"/>
          <w:sz w:val="24"/>
          <w:szCs w:val="24"/>
        </w:rPr>
        <w:t xml:space="preserve">Архитектура и градостроительство» </w:t>
      </w:r>
      <w:r>
        <w:rPr>
          <w:rFonts w:ascii="Times New Roman" w:hAnsi="Times New Roman"/>
          <w:sz w:val="24"/>
          <w:szCs w:val="24"/>
        </w:rPr>
        <w:t>предусматриваются средства в сумме: в 2025 -2027 годах в сумме 1 000,00000 тыс. рублей ежегодно.</w:t>
      </w:r>
    </w:p>
    <w:p w:rsidR="000724B1" w:rsidRDefault="009B434A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8536F5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Основными целями муниципальной программы «Формирование современной комфортной городской среды» являются обеспечение комфортных условий проживания, улучшение качества и условий жизни населения на территории городского округа Лобня.</w:t>
      </w:r>
    </w:p>
    <w:p w:rsidR="000724B1" w:rsidRDefault="009B434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реализацию муниципальной программы </w:t>
      </w:r>
      <w:r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>Формирование современной комфортной городской среды</w:t>
      </w:r>
      <w:r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предусматриваются средства в сумме: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2025 году - в сумме </w:t>
      </w:r>
      <w:r>
        <w:rPr>
          <w:rFonts w:ascii="Times New Roman" w:hAnsi="Times New Roman"/>
          <w:sz w:val="24"/>
          <w:szCs w:val="24"/>
        </w:rPr>
        <w:br/>
        <w:t xml:space="preserve">1 429 982,92000 тыс. рублей; в 2026 году - в сумме 1 432 168, 30700 тыс. рублей; в 2027 году - </w:t>
      </w:r>
      <w:r>
        <w:rPr>
          <w:rFonts w:ascii="Times New Roman" w:hAnsi="Times New Roman"/>
          <w:sz w:val="24"/>
          <w:szCs w:val="24"/>
        </w:rPr>
        <w:br/>
        <w:t>в сумме 1 138 282,21600 тыс. рублей н</w:t>
      </w:r>
      <w:r>
        <w:rPr>
          <w:rFonts w:ascii="Times New Roman" w:hAnsi="Times New Roman"/>
          <w:sz w:val="24"/>
          <w:szCs w:val="24"/>
          <w:lang w:eastAsia="ru-RU"/>
        </w:rPr>
        <w:t>а благоустройство территории городского округа</w:t>
      </w:r>
      <w:r>
        <w:rPr>
          <w:rFonts w:ascii="Times New Roman" w:hAnsi="Times New Roman"/>
          <w:sz w:val="24"/>
          <w:szCs w:val="24"/>
        </w:rPr>
        <w:t>.</w:t>
      </w:r>
    </w:p>
    <w:p w:rsidR="000724B1" w:rsidRDefault="009B434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На </w:t>
      </w:r>
      <w:r>
        <w:rPr>
          <w:rFonts w:ascii="Times New Roman" w:hAnsi="Times New Roman"/>
          <w:sz w:val="24"/>
          <w:szCs w:val="24"/>
          <w:lang w:eastAsia="ru-RU"/>
        </w:rPr>
        <w:t xml:space="preserve">реализацию муниципальной программы «Строительство объектов социальной инфраструктуры» предусмотрены средства на капитальные вложения в общеобразовательные организации в целях обеспечения односменного режима обучения (школа на 2200 мест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по адресу: Московская область, г. Лобня, мкр. Катюшки) в 2025 году в сумме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98 269,68000 тыс. рублей за счет средств местного бюджета, на проведение работ </w:t>
      </w:r>
      <w:r>
        <w:rPr>
          <w:rFonts w:ascii="Times New Roman" w:hAnsi="Times New Roman"/>
          <w:sz w:val="24"/>
          <w:szCs w:val="24"/>
          <w:lang w:eastAsia="ru-RU"/>
        </w:rPr>
        <w:br/>
        <w:t>по капитальному ремонту зданий региональных (муниципальных) общеобразовательных организаций в 2025 году – 81 665,07000 тыс. рублей из них за счет средств бюджета Московской области – 73 498,56000 тыс. рублей, на создание и модернизацию объектов спортивной инфраструктуры муниципальной собственности для занятий физической культурой и спортом за счет средств местного бюджета в 2025 году - 69 500,00000 тыс. рублей.</w:t>
      </w:r>
    </w:p>
    <w:p w:rsidR="000724B1" w:rsidRDefault="009B434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реализацию муниципальной программы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Переселение граждан из аварийного жилищного фонда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предусматриваются средства: в 2025 году в сумме </w:t>
      </w:r>
      <w:r>
        <w:rPr>
          <w:rFonts w:ascii="Times New Roman" w:hAnsi="Times New Roman"/>
          <w:sz w:val="24"/>
          <w:szCs w:val="24"/>
        </w:rPr>
        <w:br/>
        <w:t xml:space="preserve">10 473,00000 тыс. рублей, в 2026 году в сумме 24 749,30000 тыс. рублей, в 2027 году </w:t>
      </w:r>
      <w:r>
        <w:rPr>
          <w:rFonts w:ascii="Times New Roman" w:hAnsi="Times New Roman"/>
          <w:sz w:val="24"/>
          <w:szCs w:val="24"/>
        </w:rPr>
        <w:br/>
        <w:t>в сумме  882,00000 тыс. рублей:</w:t>
      </w:r>
    </w:p>
    <w:p w:rsidR="000724B1" w:rsidRDefault="009B434A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обеспечение мероприятий по переселению граждан из аварийного жилищного фонда</w:t>
      </w:r>
      <w:r>
        <w:rPr>
          <w:rFonts w:ascii="Times New Roman" w:hAnsi="Times New Roman"/>
          <w:sz w:val="24"/>
          <w:szCs w:val="24"/>
        </w:rPr>
        <w:br/>
        <w:t xml:space="preserve"> в 2025 году – 716,00000 тыс. рублей, в 2026 году – 24 749,30000 тыс. рублей, в том числе за счет средств бюджета Московской области - 14 639,17000 тыс. рублей. </w:t>
      </w:r>
    </w:p>
    <w:p w:rsidR="000724B1" w:rsidRDefault="009B434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реализацию мероприятий по сносу аварийного жилья, расселенного в рамках программы переселение, в 2025 году – 9 757,00000 тыс. рублей, в 2027 году – </w:t>
      </w:r>
      <w:r>
        <w:rPr>
          <w:rFonts w:ascii="Times New Roman" w:hAnsi="Times New Roman"/>
          <w:sz w:val="24"/>
          <w:szCs w:val="24"/>
        </w:rPr>
        <w:br/>
        <w:t>882,00000 тыс. рублей.</w:t>
      </w:r>
    </w:p>
    <w:p w:rsidR="000724B1" w:rsidRDefault="000724B1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724B1" w:rsidRDefault="009B434A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8. Политика в области муниципального долга</w:t>
      </w:r>
    </w:p>
    <w:p w:rsidR="000724B1" w:rsidRDefault="000724B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0724B1" w:rsidRDefault="009B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2025-2027 годах долговая политика Администрации городского округа, как и ранее, будет исходить из целей сбалансированности бюджета городского округа, и строиться </w:t>
      </w:r>
      <w:r>
        <w:rPr>
          <w:rFonts w:ascii="Times New Roman" w:hAnsi="Times New Roman"/>
          <w:sz w:val="24"/>
          <w:szCs w:val="24"/>
        </w:rPr>
        <w:br/>
        <w:t>на принципах безусловного исполнения долговых обязательств городского округа в полном объеме и в установленный срок.</w:t>
      </w:r>
    </w:p>
    <w:p w:rsidR="000724B1" w:rsidRDefault="009B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Долговая политика городского округа, как и ранее, строится на основании долгосрочного прогноза социально-экономического развития, в соответствии с Положением «О порядке осуществления муниципальных заимствований и управлении муниципальным долгом городского округа Лобня».</w:t>
      </w:r>
    </w:p>
    <w:p w:rsidR="000724B1" w:rsidRDefault="009B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Долговые обязательства городского округа Лобня в 2025 - 2027 годы, также </w:t>
      </w:r>
      <w:r>
        <w:rPr>
          <w:rFonts w:ascii="Times New Roman" w:hAnsi="Times New Roman"/>
          <w:sz w:val="24"/>
          <w:szCs w:val="24"/>
        </w:rPr>
        <w:br/>
        <w:t>как и в последние годы, могут осуществляться в форме бюджетных кредитов и банковских кредитов. При этом Администрация городского округа Лобня намерена придерживаться краткосрочных и среднесрочных долговых обязательств.</w:t>
      </w:r>
    </w:p>
    <w:p w:rsidR="000724B1" w:rsidRDefault="009B434A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Основные направления долговой политики на 2025-2027 годы:</w:t>
      </w:r>
    </w:p>
    <w:p w:rsidR="000724B1" w:rsidRDefault="009B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поддержание объема муниципального долга на экономически безопасном уровне путем оптимизации структуры заимствований и равномерного распределения, связанных с ними платежей по обслуживанию долга; </w:t>
      </w:r>
    </w:p>
    <w:p w:rsidR="000724B1" w:rsidRDefault="009B434A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привлечение заемных средств на условиях минимальных расходов на их обслуживание;</w:t>
      </w:r>
    </w:p>
    <w:p w:rsidR="000724B1" w:rsidRDefault="009B43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 на строгое соблюдение сроков возврата кредитов и оплаты процентов </w:t>
      </w:r>
      <w:r>
        <w:rPr>
          <w:rFonts w:ascii="Times New Roman" w:hAnsi="Times New Roman"/>
          <w:sz w:val="24"/>
          <w:szCs w:val="24"/>
        </w:rPr>
        <w:br/>
        <w:t>по обслуживанию муниципального долга.</w:t>
      </w:r>
    </w:p>
    <w:p w:rsidR="000724B1" w:rsidRDefault="009B434A">
      <w:pPr>
        <w:tabs>
          <w:tab w:val="left" w:pos="567"/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Проведение предсказуемой и ответственной бюджетной и налоговой политики, обеспечение долгосрочной сбалансированности и устойчивости бюджетной системы городского округа обеспечат экономическую стабильность городского округа и необходимые условия для повышения эффективности деятельности органов местного самоуправления. </w:t>
      </w:r>
    </w:p>
    <w:p w:rsidR="000724B1" w:rsidRDefault="009B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 процессе исполнения бюджета городского округа Лобня в 2025-2027 годы предполагается:</w:t>
      </w:r>
    </w:p>
    <w:p w:rsidR="000724B1" w:rsidRDefault="009B434A">
      <w:pPr>
        <w:tabs>
          <w:tab w:val="left" w:pos="567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привлечь кредитные средства:</w:t>
      </w:r>
    </w:p>
    <w:p w:rsidR="000724B1" w:rsidRDefault="009B434A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8" w:name="_Hlk181691391"/>
      <w:r>
        <w:rPr>
          <w:rFonts w:ascii="Times New Roman" w:hAnsi="Times New Roman"/>
          <w:sz w:val="24"/>
          <w:szCs w:val="24"/>
        </w:rPr>
        <w:t>в 2025 году – 605 060,85800 тыс. рублей;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2026 году – 611 336,72000 тыс. рублей;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2027 году – 597 920,67600 тыс. рублей</w:t>
      </w:r>
      <w:bookmarkEnd w:id="8"/>
      <w:r>
        <w:rPr>
          <w:rFonts w:ascii="Times New Roman" w:hAnsi="Times New Roman"/>
          <w:sz w:val="24"/>
          <w:szCs w:val="24"/>
        </w:rPr>
        <w:t>.</w:t>
      </w:r>
    </w:p>
    <w:p w:rsidR="000724B1" w:rsidRDefault="009B43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погасить основной долг по кредиту: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9" w:name="_Hlk181691481"/>
      <w:r>
        <w:rPr>
          <w:rFonts w:ascii="Times New Roman" w:hAnsi="Times New Roman"/>
          <w:sz w:val="24"/>
          <w:szCs w:val="24"/>
        </w:rPr>
        <w:t>в 2025 году – 377 976,47500 тыс. рублей;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2026 году – 373 190,00000 тыс. рублей;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2027 году – 395 215,85800 тыс. рублей.</w:t>
      </w:r>
    </w:p>
    <w:bookmarkEnd w:id="9"/>
    <w:p w:rsidR="000724B1" w:rsidRDefault="009B43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Предельный объем расходов на обслуживание муниципального долга запланирован:</w:t>
      </w:r>
    </w:p>
    <w:p w:rsidR="000724B1" w:rsidRDefault="009B434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в 2025 году – </w:t>
      </w:r>
      <w:bookmarkStart w:id="10" w:name="_Hlk181691564"/>
      <w:r>
        <w:rPr>
          <w:rFonts w:ascii="Times New Roman" w:hAnsi="Times New Roman"/>
          <w:sz w:val="24"/>
          <w:szCs w:val="24"/>
        </w:rPr>
        <w:t>59 086,26000тыс. рублей</w:t>
      </w:r>
      <w:bookmarkEnd w:id="10"/>
      <w:r>
        <w:rPr>
          <w:rFonts w:ascii="Times New Roman" w:hAnsi="Times New Roman"/>
          <w:sz w:val="24"/>
          <w:szCs w:val="24"/>
        </w:rPr>
        <w:t>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2026 году – </w:t>
      </w:r>
      <w:bookmarkStart w:id="11" w:name="_Hlk181691585"/>
      <w:r>
        <w:rPr>
          <w:rFonts w:ascii="Times New Roman" w:hAnsi="Times New Roman"/>
          <w:sz w:val="24"/>
          <w:szCs w:val="24"/>
        </w:rPr>
        <w:t>67 910,73000 тыс. рублей;</w:t>
      </w:r>
      <w:bookmarkEnd w:id="11"/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2027 году – </w:t>
      </w:r>
      <w:bookmarkStart w:id="12" w:name="_Hlk181691601"/>
      <w:r>
        <w:rPr>
          <w:rFonts w:ascii="Times New Roman" w:hAnsi="Times New Roman"/>
          <w:sz w:val="24"/>
          <w:szCs w:val="24"/>
        </w:rPr>
        <w:t>75 811,15000 тыс. рублей.</w:t>
      </w:r>
      <w:bookmarkEnd w:id="12"/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Верхний предел муниципального долга городского округа Лобня составит: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состоянию на 1 января 2026 года – </w:t>
      </w:r>
      <w:bookmarkStart w:id="13" w:name="_Hlk181691273"/>
      <w:r>
        <w:rPr>
          <w:rFonts w:ascii="Times New Roman" w:hAnsi="Times New Roman"/>
          <w:sz w:val="24"/>
          <w:szCs w:val="24"/>
        </w:rPr>
        <w:t>568 405,85800 тыс. рублей</w:t>
      </w:r>
      <w:bookmarkEnd w:id="13"/>
      <w:r>
        <w:rPr>
          <w:rFonts w:ascii="Times New Roman" w:hAnsi="Times New Roman"/>
          <w:sz w:val="24"/>
          <w:szCs w:val="24"/>
        </w:rPr>
        <w:t>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состоянию на 1 января 2027 года – </w:t>
      </w:r>
      <w:bookmarkStart w:id="14" w:name="_Hlk181691307"/>
      <w:r>
        <w:rPr>
          <w:rFonts w:ascii="Times New Roman" w:hAnsi="Times New Roman"/>
          <w:sz w:val="24"/>
          <w:szCs w:val="24"/>
        </w:rPr>
        <w:t>806 552,57800 тыс. рублей</w:t>
      </w:r>
      <w:bookmarkEnd w:id="14"/>
      <w:r>
        <w:rPr>
          <w:rFonts w:ascii="Times New Roman" w:hAnsi="Times New Roman"/>
          <w:sz w:val="24"/>
          <w:szCs w:val="24"/>
        </w:rPr>
        <w:t>;</w:t>
      </w:r>
    </w:p>
    <w:p w:rsidR="000724B1" w:rsidRDefault="009B434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состоянию на 1 января 2028 года – </w:t>
      </w:r>
      <w:bookmarkStart w:id="15" w:name="_Hlk181691336"/>
      <w:r>
        <w:rPr>
          <w:rFonts w:ascii="Times New Roman" w:hAnsi="Times New Roman"/>
          <w:sz w:val="24"/>
          <w:szCs w:val="24"/>
        </w:rPr>
        <w:t>1 009 257,39600тыс. рублей</w:t>
      </w:r>
      <w:bookmarkEnd w:id="15"/>
      <w:r>
        <w:rPr>
          <w:rFonts w:ascii="Times New Roman" w:hAnsi="Times New Roman"/>
          <w:sz w:val="24"/>
          <w:szCs w:val="24"/>
        </w:rPr>
        <w:t>.</w:t>
      </w:r>
    </w:p>
    <w:p w:rsidR="000724B1" w:rsidRDefault="009B434A">
      <w:pPr>
        <w:tabs>
          <w:tab w:val="left" w:pos="709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Показатели находятся в рамках предельного объема муниципальных заимствований </w:t>
      </w:r>
      <w:r>
        <w:rPr>
          <w:rFonts w:ascii="Times New Roman" w:hAnsi="Times New Roman"/>
          <w:sz w:val="24"/>
          <w:szCs w:val="24"/>
        </w:rPr>
        <w:br/>
        <w:t>и верхнего предела муниципального долга, установленного статьей 107 Бюджетного кодекса Российской Федерации.</w:t>
      </w:r>
    </w:p>
    <w:sectPr w:rsidR="000724B1"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D46" w:rsidRDefault="00886D46">
      <w:pPr>
        <w:spacing w:line="240" w:lineRule="auto"/>
      </w:pPr>
      <w:r>
        <w:separator/>
      </w:r>
    </w:p>
  </w:endnote>
  <w:endnote w:type="continuationSeparator" w:id="0">
    <w:p w:rsidR="00886D46" w:rsidRDefault="00886D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4B1" w:rsidRDefault="009B434A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36F5">
      <w:rPr>
        <w:noProof/>
      </w:rPr>
      <w:t>22</w:t>
    </w:r>
    <w:r>
      <w:fldChar w:fldCharType="end"/>
    </w:r>
  </w:p>
  <w:p w:rsidR="000724B1" w:rsidRDefault="000724B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D46" w:rsidRDefault="00886D46">
      <w:pPr>
        <w:spacing w:after="0"/>
      </w:pPr>
      <w:r>
        <w:separator/>
      </w:r>
    </w:p>
  </w:footnote>
  <w:footnote w:type="continuationSeparator" w:id="0">
    <w:p w:rsidR="00886D46" w:rsidRDefault="00886D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624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35E2"/>
    <w:rsid w:val="0000067A"/>
    <w:rsid w:val="000006F6"/>
    <w:rsid w:val="00000922"/>
    <w:rsid w:val="00000935"/>
    <w:rsid w:val="00001A2D"/>
    <w:rsid w:val="00001F62"/>
    <w:rsid w:val="000026C1"/>
    <w:rsid w:val="00003175"/>
    <w:rsid w:val="000036BB"/>
    <w:rsid w:val="00003A51"/>
    <w:rsid w:val="0000409C"/>
    <w:rsid w:val="000050DC"/>
    <w:rsid w:val="0000638A"/>
    <w:rsid w:val="00006BA5"/>
    <w:rsid w:val="00006D6B"/>
    <w:rsid w:val="00010B98"/>
    <w:rsid w:val="0001127F"/>
    <w:rsid w:val="0001147C"/>
    <w:rsid w:val="00012F2F"/>
    <w:rsid w:val="00013A8B"/>
    <w:rsid w:val="0001400D"/>
    <w:rsid w:val="00014156"/>
    <w:rsid w:val="000147AD"/>
    <w:rsid w:val="00015F43"/>
    <w:rsid w:val="00016022"/>
    <w:rsid w:val="000160CF"/>
    <w:rsid w:val="000165AA"/>
    <w:rsid w:val="00016CCA"/>
    <w:rsid w:val="00016D5B"/>
    <w:rsid w:val="000205E9"/>
    <w:rsid w:val="000206C2"/>
    <w:rsid w:val="00020AE1"/>
    <w:rsid w:val="00021750"/>
    <w:rsid w:val="00021767"/>
    <w:rsid w:val="00021A13"/>
    <w:rsid w:val="00021F13"/>
    <w:rsid w:val="00023744"/>
    <w:rsid w:val="000246C9"/>
    <w:rsid w:val="000248DD"/>
    <w:rsid w:val="00024A70"/>
    <w:rsid w:val="00024D81"/>
    <w:rsid w:val="00024DF4"/>
    <w:rsid w:val="00027375"/>
    <w:rsid w:val="000277E5"/>
    <w:rsid w:val="000301A5"/>
    <w:rsid w:val="00034293"/>
    <w:rsid w:val="0003482F"/>
    <w:rsid w:val="00034BA7"/>
    <w:rsid w:val="00035111"/>
    <w:rsid w:val="00035434"/>
    <w:rsid w:val="000356BD"/>
    <w:rsid w:val="00035771"/>
    <w:rsid w:val="000357F1"/>
    <w:rsid w:val="00036496"/>
    <w:rsid w:val="00037795"/>
    <w:rsid w:val="000407D2"/>
    <w:rsid w:val="000409D4"/>
    <w:rsid w:val="00040BAE"/>
    <w:rsid w:val="00040CD3"/>
    <w:rsid w:val="00040D3A"/>
    <w:rsid w:val="00041053"/>
    <w:rsid w:val="00041BE2"/>
    <w:rsid w:val="000424A9"/>
    <w:rsid w:val="00042504"/>
    <w:rsid w:val="00044BC1"/>
    <w:rsid w:val="00044ED4"/>
    <w:rsid w:val="000453D0"/>
    <w:rsid w:val="0004640D"/>
    <w:rsid w:val="00046FFD"/>
    <w:rsid w:val="00047D88"/>
    <w:rsid w:val="00050181"/>
    <w:rsid w:val="000504E6"/>
    <w:rsid w:val="000526D4"/>
    <w:rsid w:val="000526FA"/>
    <w:rsid w:val="00052FCD"/>
    <w:rsid w:val="000530A8"/>
    <w:rsid w:val="00053BDD"/>
    <w:rsid w:val="0005489A"/>
    <w:rsid w:val="000556E5"/>
    <w:rsid w:val="00055EB1"/>
    <w:rsid w:val="00055F64"/>
    <w:rsid w:val="00056B74"/>
    <w:rsid w:val="0005708A"/>
    <w:rsid w:val="00057E44"/>
    <w:rsid w:val="00060118"/>
    <w:rsid w:val="00060B11"/>
    <w:rsid w:val="0006123B"/>
    <w:rsid w:val="000613D0"/>
    <w:rsid w:val="00062D32"/>
    <w:rsid w:val="00063061"/>
    <w:rsid w:val="0006373D"/>
    <w:rsid w:val="00064637"/>
    <w:rsid w:val="00065C81"/>
    <w:rsid w:val="00065EDC"/>
    <w:rsid w:val="0006657D"/>
    <w:rsid w:val="00066E6C"/>
    <w:rsid w:val="00067395"/>
    <w:rsid w:val="000673E5"/>
    <w:rsid w:val="00071544"/>
    <w:rsid w:val="00071C60"/>
    <w:rsid w:val="00072437"/>
    <w:rsid w:val="000724B1"/>
    <w:rsid w:val="000729C1"/>
    <w:rsid w:val="000732EF"/>
    <w:rsid w:val="000733EA"/>
    <w:rsid w:val="00074A5E"/>
    <w:rsid w:val="00075059"/>
    <w:rsid w:val="00075315"/>
    <w:rsid w:val="00077384"/>
    <w:rsid w:val="00080C52"/>
    <w:rsid w:val="00080EDB"/>
    <w:rsid w:val="0008175A"/>
    <w:rsid w:val="00082269"/>
    <w:rsid w:val="000839F9"/>
    <w:rsid w:val="00084B07"/>
    <w:rsid w:val="00086653"/>
    <w:rsid w:val="00086781"/>
    <w:rsid w:val="00087367"/>
    <w:rsid w:val="00087541"/>
    <w:rsid w:val="00087B3F"/>
    <w:rsid w:val="00090615"/>
    <w:rsid w:val="000907C0"/>
    <w:rsid w:val="00091C70"/>
    <w:rsid w:val="00091CB4"/>
    <w:rsid w:val="0009217C"/>
    <w:rsid w:val="000927BE"/>
    <w:rsid w:val="00094134"/>
    <w:rsid w:val="000946F1"/>
    <w:rsid w:val="000948E2"/>
    <w:rsid w:val="00094BA3"/>
    <w:rsid w:val="000974F2"/>
    <w:rsid w:val="000976D1"/>
    <w:rsid w:val="000A029A"/>
    <w:rsid w:val="000A1359"/>
    <w:rsid w:val="000A14A3"/>
    <w:rsid w:val="000A21E1"/>
    <w:rsid w:val="000A24A7"/>
    <w:rsid w:val="000A26CE"/>
    <w:rsid w:val="000A2DBB"/>
    <w:rsid w:val="000A4E55"/>
    <w:rsid w:val="000A57F6"/>
    <w:rsid w:val="000A60A5"/>
    <w:rsid w:val="000A61A9"/>
    <w:rsid w:val="000A78BA"/>
    <w:rsid w:val="000A792C"/>
    <w:rsid w:val="000B01B1"/>
    <w:rsid w:val="000B01D9"/>
    <w:rsid w:val="000B0770"/>
    <w:rsid w:val="000B0EF4"/>
    <w:rsid w:val="000B17B4"/>
    <w:rsid w:val="000B3C0C"/>
    <w:rsid w:val="000B48ED"/>
    <w:rsid w:val="000B49DD"/>
    <w:rsid w:val="000B4F09"/>
    <w:rsid w:val="000B5AB4"/>
    <w:rsid w:val="000C0BD6"/>
    <w:rsid w:val="000C12DD"/>
    <w:rsid w:val="000C30ED"/>
    <w:rsid w:val="000C35DC"/>
    <w:rsid w:val="000C38BC"/>
    <w:rsid w:val="000C3CD0"/>
    <w:rsid w:val="000C48F4"/>
    <w:rsid w:val="000C5A0D"/>
    <w:rsid w:val="000C6551"/>
    <w:rsid w:val="000C6BDD"/>
    <w:rsid w:val="000C6EF8"/>
    <w:rsid w:val="000C72A4"/>
    <w:rsid w:val="000D0729"/>
    <w:rsid w:val="000D1390"/>
    <w:rsid w:val="000D21AB"/>
    <w:rsid w:val="000D24D7"/>
    <w:rsid w:val="000D307D"/>
    <w:rsid w:val="000D3583"/>
    <w:rsid w:val="000D362C"/>
    <w:rsid w:val="000D4690"/>
    <w:rsid w:val="000D5D30"/>
    <w:rsid w:val="000D672F"/>
    <w:rsid w:val="000D794A"/>
    <w:rsid w:val="000D7A28"/>
    <w:rsid w:val="000D7C5B"/>
    <w:rsid w:val="000E109B"/>
    <w:rsid w:val="000E2C33"/>
    <w:rsid w:val="000E536B"/>
    <w:rsid w:val="000E5AF5"/>
    <w:rsid w:val="000E5B38"/>
    <w:rsid w:val="000E6805"/>
    <w:rsid w:val="000E6C62"/>
    <w:rsid w:val="000E7543"/>
    <w:rsid w:val="000E7B5E"/>
    <w:rsid w:val="000E7FAA"/>
    <w:rsid w:val="000F0069"/>
    <w:rsid w:val="000F1AE3"/>
    <w:rsid w:val="000F1EEA"/>
    <w:rsid w:val="000F22A6"/>
    <w:rsid w:val="000F41CC"/>
    <w:rsid w:val="000F4666"/>
    <w:rsid w:val="000F7D76"/>
    <w:rsid w:val="001008D9"/>
    <w:rsid w:val="0010097A"/>
    <w:rsid w:val="00101546"/>
    <w:rsid w:val="00101C93"/>
    <w:rsid w:val="00102EC1"/>
    <w:rsid w:val="0010329F"/>
    <w:rsid w:val="0010409D"/>
    <w:rsid w:val="001044D7"/>
    <w:rsid w:val="00104898"/>
    <w:rsid w:val="00104C47"/>
    <w:rsid w:val="0010569C"/>
    <w:rsid w:val="00106556"/>
    <w:rsid w:val="00106947"/>
    <w:rsid w:val="001106B5"/>
    <w:rsid w:val="0011076B"/>
    <w:rsid w:val="00110BF4"/>
    <w:rsid w:val="00112566"/>
    <w:rsid w:val="00113DC3"/>
    <w:rsid w:val="001147EC"/>
    <w:rsid w:val="00114CFA"/>
    <w:rsid w:val="00114FEF"/>
    <w:rsid w:val="001151A6"/>
    <w:rsid w:val="00115759"/>
    <w:rsid w:val="00115779"/>
    <w:rsid w:val="0011580E"/>
    <w:rsid w:val="00117565"/>
    <w:rsid w:val="0012112B"/>
    <w:rsid w:val="00121228"/>
    <w:rsid w:val="001215E6"/>
    <w:rsid w:val="001215E8"/>
    <w:rsid w:val="00121B32"/>
    <w:rsid w:val="00121D83"/>
    <w:rsid w:val="00122681"/>
    <w:rsid w:val="00122CBE"/>
    <w:rsid w:val="00123278"/>
    <w:rsid w:val="00123515"/>
    <w:rsid w:val="00126192"/>
    <w:rsid w:val="001269AD"/>
    <w:rsid w:val="0012788B"/>
    <w:rsid w:val="00127B4F"/>
    <w:rsid w:val="00130583"/>
    <w:rsid w:val="00130B12"/>
    <w:rsid w:val="00131996"/>
    <w:rsid w:val="00131F31"/>
    <w:rsid w:val="001322D0"/>
    <w:rsid w:val="001326B2"/>
    <w:rsid w:val="001347AF"/>
    <w:rsid w:val="001357B1"/>
    <w:rsid w:val="001369C7"/>
    <w:rsid w:val="00136ED8"/>
    <w:rsid w:val="001373F1"/>
    <w:rsid w:val="001408C6"/>
    <w:rsid w:val="00141A86"/>
    <w:rsid w:val="00142465"/>
    <w:rsid w:val="0014270A"/>
    <w:rsid w:val="001444FD"/>
    <w:rsid w:val="00145AE1"/>
    <w:rsid w:val="00145C2E"/>
    <w:rsid w:val="0015014F"/>
    <w:rsid w:val="001504BD"/>
    <w:rsid w:val="00150FA1"/>
    <w:rsid w:val="0015216D"/>
    <w:rsid w:val="00153837"/>
    <w:rsid w:val="001547E8"/>
    <w:rsid w:val="001557DD"/>
    <w:rsid w:val="00155CD5"/>
    <w:rsid w:val="001576A9"/>
    <w:rsid w:val="00157940"/>
    <w:rsid w:val="00157A72"/>
    <w:rsid w:val="00160433"/>
    <w:rsid w:val="00161634"/>
    <w:rsid w:val="001634F1"/>
    <w:rsid w:val="001634F9"/>
    <w:rsid w:val="00163B27"/>
    <w:rsid w:val="00164F03"/>
    <w:rsid w:val="00164FAD"/>
    <w:rsid w:val="001675C1"/>
    <w:rsid w:val="00167F74"/>
    <w:rsid w:val="00170443"/>
    <w:rsid w:val="0017091A"/>
    <w:rsid w:val="00170923"/>
    <w:rsid w:val="00170C9B"/>
    <w:rsid w:val="00171689"/>
    <w:rsid w:val="001721E8"/>
    <w:rsid w:val="001722FC"/>
    <w:rsid w:val="00172406"/>
    <w:rsid w:val="00172AE3"/>
    <w:rsid w:val="00173421"/>
    <w:rsid w:val="0017396C"/>
    <w:rsid w:val="001743AA"/>
    <w:rsid w:val="001746EA"/>
    <w:rsid w:val="001750AF"/>
    <w:rsid w:val="001757D7"/>
    <w:rsid w:val="00176C46"/>
    <w:rsid w:val="0017763C"/>
    <w:rsid w:val="00180405"/>
    <w:rsid w:val="00180C2F"/>
    <w:rsid w:val="00180E96"/>
    <w:rsid w:val="00184353"/>
    <w:rsid w:val="00184364"/>
    <w:rsid w:val="00184658"/>
    <w:rsid w:val="001848BF"/>
    <w:rsid w:val="00184BE3"/>
    <w:rsid w:val="00185107"/>
    <w:rsid w:val="001861D6"/>
    <w:rsid w:val="0018677B"/>
    <w:rsid w:val="00186941"/>
    <w:rsid w:val="00186AB0"/>
    <w:rsid w:val="0018770C"/>
    <w:rsid w:val="00190898"/>
    <w:rsid w:val="00190C6A"/>
    <w:rsid w:val="00192A2E"/>
    <w:rsid w:val="0019354E"/>
    <w:rsid w:val="00193B2C"/>
    <w:rsid w:val="00194E2B"/>
    <w:rsid w:val="00196C53"/>
    <w:rsid w:val="00197B9C"/>
    <w:rsid w:val="00197F9A"/>
    <w:rsid w:val="001A01A8"/>
    <w:rsid w:val="001A0392"/>
    <w:rsid w:val="001A0F58"/>
    <w:rsid w:val="001A2545"/>
    <w:rsid w:val="001A3760"/>
    <w:rsid w:val="001A45D4"/>
    <w:rsid w:val="001A46B5"/>
    <w:rsid w:val="001A5B21"/>
    <w:rsid w:val="001A650C"/>
    <w:rsid w:val="001A70D5"/>
    <w:rsid w:val="001A76B7"/>
    <w:rsid w:val="001B08E9"/>
    <w:rsid w:val="001B0A82"/>
    <w:rsid w:val="001B0B53"/>
    <w:rsid w:val="001B2C1F"/>
    <w:rsid w:val="001B3DC6"/>
    <w:rsid w:val="001B429D"/>
    <w:rsid w:val="001B43CB"/>
    <w:rsid w:val="001B5FC6"/>
    <w:rsid w:val="001B6722"/>
    <w:rsid w:val="001B6D9A"/>
    <w:rsid w:val="001C091A"/>
    <w:rsid w:val="001C1045"/>
    <w:rsid w:val="001C15B3"/>
    <w:rsid w:val="001C17B3"/>
    <w:rsid w:val="001C1EBE"/>
    <w:rsid w:val="001C2264"/>
    <w:rsid w:val="001C2B3F"/>
    <w:rsid w:val="001C3668"/>
    <w:rsid w:val="001C3C68"/>
    <w:rsid w:val="001C3FA2"/>
    <w:rsid w:val="001C4502"/>
    <w:rsid w:val="001C45FF"/>
    <w:rsid w:val="001C46D5"/>
    <w:rsid w:val="001C4A38"/>
    <w:rsid w:val="001C4EFC"/>
    <w:rsid w:val="001C7611"/>
    <w:rsid w:val="001C76D7"/>
    <w:rsid w:val="001C771F"/>
    <w:rsid w:val="001C7A53"/>
    <w:rsid w:val="001D0D79"/>
    <w:rsid w:val="001D17C6"/>
    <w:rsid w:val="001D1EE6"/>
    <w:rsid w:val="001D2451"/>
    <w:rsid w:val="001D2950"/>
    <w:rsid w:val="001D2E02"/>
    <w:rsid w:val="001D335C"/>
    <w:rsid w:val="001D36FA"/>
    <w:rsid w:val="001D3A6B"/>
    <w:rsid w:val="001D3C94"/>
    <w:rsid w:val="001D3F4D"/>
    <w:rsid w:val="001D46D8"/>
    <w:rsid w:val="001D4FF4"/>
    <w:rsid w:val="001E083B"/>
    <w:rsid w:val="001E128E"/>
    <w:rsid w:val="001E2B18"/>
    <w:rsid w:val="001E3E59"/>
    <w:rsid w:val="001E5153"/>
    <w:rsid w:val="001E5309"/>
    <w:rsid w:val="001E6815"/>
    <w:rsid w:val="001E68B5"/>
    <w:rsid w:val="001E6FD0"/>
    <w:rsid w:val="001E71FF"/>
    <w:rsid w:val="001F0D90"/>
    <w:rsid w:val="001F15E6"/>
    <w:rsid w:val="001F1A27"/>
    <w:rsid w:val="001F1DDC"/>
    <w:rsid w:val="001F33C2"/>
    <w:rsid w:val="001F3605"/>
    <w:rsid w:val="001F3843"/>
    <w:rsid w:val="001F4291"/>
    <w:rsid w:val="001F6312"/>
    <w:rsid w:val="001F638A"/>
    <w:rsid w:val="001F6507"/>
    <w:rsid w:val="001F66A6"/>
    <w:rsid w:val="001F6EC6"/>
    <w:rsid w:val="001F72BF"/>
    <w:rsid w:val="001F7586"/>
    <w:rsid w:val="001F7B9B"/>
    <w:rsid w:val="001F7F2A"/>
    <w:rsid w:val="002001AB"/>
    <w:rsid w:val="00200A07"/>
    <w:rsid w:val="00200DF3"/>
    <w:rsid w:val="00201C1D"/>
    <w:rsid w:val="002028B6"/>
    <w:rsid w:val="00202F6A"/>
    <w:rsid w:val="00203522"/>
    <w:rsid w:val="002037E3"/>
    <w:rsid w:val="00204D23"/>
    <w:rsid w:val="0020533B"/>
    <w:rsid w:val="00205B23"/>
    <w:rsid w:val="00205D0D"/>
    <w:rsid w:val="0020616F"/>
    <w:rsid w:val="00207313"/>
    <w:rsid w:val="00207C4B"/>
    <w:rsid w:val="002108E3"/>
    <w:rsid w:val="0021267D"/>
    <w:rsid w:val="002132CF"/>
    <w:rsid w:val="00214AF1"/>
    <w:rsid w:val="00214EC5"/>
    <w:rsid w:val="00215B5D"/>
    <w:rsid w:val="00215D71"/>
    <w:rsid w:val="00216BA5"/>
    <w:rsid w:val="0022049F"/>
    <w:rsid w:val="002205A7"/>
    <w:rsid w:val="00221E3B"/>
    <w:rsid w:val="00223964"/>
    <w:rsid w:val="0022597A"/>
    <w:rsid w:val="00226325"/>
    <w:rsid w:val="00227377"/>
    <w:rsid w:val="00230841"/>
    <w:rsid w:val="00231476"/>
    <w:rsid w:val="00232DB3"/>
    <w:rsid w:val="00233592"/>
    <w:rsid w:val="002349F6"/>
    <w:rsid w:val="002363FE"/>
    <w:rsid w:val="002373FC"/>
    <w:rsid w:val="00237BE4"/>
    <w:rsid w:val="00237C8C"/>
    <w:rsid w:val="00240137"/>
    <w:rsid w:val="00240647"/>
    <w:rsid w:val="002414D6"/>
    <w:rsid w:val="0024186A"/>
    <w:rsid w:val="0024261E"/>
    <w:rsid w:val="00242FAE"/>
    <w:rsid w:val="00243494"/>
    <w:rsid w:val="00243BCD"/>
    <w:rsid w:val="00244552"/>
    <w:rsid w:val="00246771"/>
    <w:rsid w:val="00246840"/>
    <w:rsid w:val="0024737D"/>
    <w:rsid w:val="00250355"/>
    <w:rsid w:val="002504BB"/>
    <w:rsid w:val="00250A9E"/>
    <w:rsid w:val="002517C6"/>
    <w:rsid w:val="002524D6"/>
    <w:rsid w:val="00252621"/>
    <w:rsid w:val="002536FD"/>
    <w:rsid w:val="00254137"/>
    <w:rsid w:val="0025422F"/>
    <w:rsid w:val="0025463E"/>
    <w:rsid w:val="002549AD"/>
    <w:rsid w:val="00256DCA"/>
    <w:rsid w:val="0025739B"/>
    <w:rsid w:val="00257418"/>
    <w:rsid w:val="00257540"/>
    <w:rsid w:val="00261FA8"/>
    <w:rsid w:val="00263311"/>
    <w:rsid w:val="002637B2"/>
    <w:rsid w:val="00263F02"/>
    <w:rsid w:val="00265AA9"/>
    <w:rsid w:val="00265FF7"/>
    <w:rsid w:val="00267435"/>
    <w:rsid w:val="00267849"/>
    <w:rsid w:val="002707B1"/>
    <w:rsid w:val="00272269"/>
    <w:rsid w:val="00273620"/>
    <w:rsid w:val="00274D86"/>
    <w:rsid w:val="00276956"/>
    <w:rsid w:val="00276B00"/>
    <w:rsid w:val="0027765A"/>
    <w:rsid w:val="00277E58"/>
    <w:rsid w:val="00280BDB"/>
    <w:rsid w:val="00283718"/>
    <w:rsid w:val="0028387B"/>
    <w:rsid w:val="002838E2"/>
    <w:rsid w:val="00284837"/>
    <w:rsid w:val="00285439"/>
    <w:rsid w:val="002856A8"/>
    <w:rsid w:val="00285725"/>
    <w:rsid w:val="00285A46"/>
    <w:rsid w:val="002862F9"/>
    <w:rsid w:val="002864BE"/>
    <w:rsid w:val="00286C06"/>
    <w:rsid w:val="0028755F"/>
    <w:rsid w:val="00287A7E"/>
    <w:rsid w:val="00287DEF"/>
    <w:rsid w:val="00287F28"/>
    <w:rsid w:val="00290158"/>
    <w:rsid w:val="002908E1"/>
    <w:rsid w:val="002925E1"/>
    <w:rsid w:val="00292DD6"/>
    <w:rsid w:val="002935DE"/>
    <w:rsid w:val="00293A9D"/>
    <w:rsid w:val="00296B7D"/>
    <w:rsid w:val="00297016"/>
    <w:rsid w:val="002A08F7"/>
    <w:rsid w:val="002A18A5"/>
    <w:rsid w:val="002A1C85"/>
    <w:rsid w:val="002A1D5D"/>
    <w:rsid w:val="002A1FE6"/>
    <w:rsid w:val="002A302D"/>
    <w:rsid w:val="002A4024"/>
    <w:rsid w:val="002A44AA"/>
    <w:rsid w:val="002A50B0"/>
    <w:rsid w:val="002A50B4"/>
    <w:rsid w:val="002A6F34"/>
    <w:rsid w:val="002A7038"/>
    <w:rsid w:val="002A753D"/>
    <w:rsid w:val="002B07E5"/>
    <w:rsid w:val="002B0DC8"/>
    <w:rsid w:val="002B28E5"/>
    <w:rsid w:val="002B33BC"/>
    <w:rsid w:val="002B5087"/>
    <w:rsid w:val="002B6D6A"/>
    <w:rsid w:val="002B756F"/>
    <w:rsid w:val="002C0CA5"/>
    <w:rsid w:val="002C0DC7"/>
    <w:rsid w:val="002C1D09"/>
    <w:rsid w:val="002C1D83"/>
    <w:rsid w:val="002C200A"/>
    <w:rsid w:val="002C44B6"/>
    <w:rsid w:val="002C5370"/>
    <w:rsid w:val="002C6DBA"/>
    <w:rsid w:val="002C776F"/>
    <w:rsid w:val="002D0D98"/>
    <w:rsid w:val="002D0E68"/>
    <w:rsid w:val="002D1364"/>
    <w:rsid w:val="002D179A"/>
    <w:rsid w:val="002D32E3"/>
    <w:rsid w:val="002D4079"/>
    <w:rsid w:val="002D46FC"/>
    <w:rsid w:val="002D480F"/>
    <w:rsid w:val="002D544A"/>
    <w:rsid w:val="002D56C4"/>
    <w:rsid w:val="002D622F"/>
    <w:rsid w:val="002E16BB"/>
    <w:rsid w:val="002E27BD"/>
    <w:rsid w:val="002E2993"/>
    <w:rsid w:val="002E3CAB"/>
    <w:rsid w:val="002E3E28"/>
    <w:rsid w:val="002E4C0E"/>
    <w:rsid w:val="002E5BDE"/>
    <w:rsid w:val="002E68CF"/>
    <w:rsid w:val="002F0978"/>
    <w:rsid w:val="002F10D5"/>
    <w:rsid w:val="002F15A0"/>
    <w:rsid w:val="002F15E7"/>
    <w:rsid w:val="002F1657"/>
    <w:rsid w:val="002F2268"/>
    <w:rsid w:val="002F432E"/>
    <w:rsid w:val="002F4CB2"/>
    <w:rsid w:val="002F53DF"/>
    <w:rsid w:val="002F54F9"/>
    <w:rsid w:val="002F57C3"/>
    <w:rsid w:val="003000A5"/>
    <w:rsid w:val="0030060D"/>
    <w:rsid w:val="0030065E"/>
    <w:rsid w:val="003006A3"/>
    <w:rsid w:val="00301A7C"/>
    <w:rsid w:val="0030278A"/>
    <w:rsid w:val="00302905"/>
    <w:rsid w:val="0030342A"/>
    <w:rsid w:val="00304915"/>
    <w:rsid w:val="003055FB"/>
    <w:rsid w:val="00306ACD"/>
    <w:rsid w:val="00306AF9"/>
    <w:rsid w:val="003077C9"/>
    <w:rsid w:val="00307B32"/>
    <w:rsid w:val="003109E7"/>
    <w:rsid w:val="00311220"/>
    <w:rsid w:val="003117E2"/>
    <w:rsid w:val="003117F0"/>
    <w:rsid w:val="00311E21"/>
    <w:rsid w:val="0031421B"/>
    <w:rsid w:val="003147E5"/>
    <w:rsid w:val="00316B93"/>
    <w:rsid w:val="00316C24"/>
    <w:rsid w:val="00317017"/>
    <w:rsid w:val="003173F6"/>
    <w:rsid w:val="00317C92"/>
    <w:rsid w:val="003212A6"/>
    <w:rsid w:val="00322EB6"/>
    <w:rsid w:val="003231B9"/>
    <w:rsid w:val="00323356"/>
    <w:rsid w:val="00323663"/>
    <w:rsid w:val="0032426B"/>
    <w:rsid w:val="003255A0"/>
    <w:rsid w:val="00325AA9"/>
    <w:rsid w:val="00325D8E"/>
    <w:rsid w:val="00326BAD"/>
    <w:rsid w:val="003273B1"/>
    <w:rsid w:val="00327732"/>
    <w:rsid w:val="00327A6C"/>
    <w:rsid w:val="00327EED"/>
    <w:rsid w:val="00327FFA"/>
    <w:rsid w:val="003301E9"/>
    <w:rsid w:val="00330A9D"/>
    <w:rsid w:val="00330C2D"/>
    <w:rsid w:val="00330DA9"/>
    <w:rsid w:val="00330DEB"/>
    <w:rsid w:val="00331A7D"/>
    <w:rsid w:val="00331D53"/>
    <w:rsid w:val="00333231"/>
    <w:rsid w:val="00334B33"/>
    <w:rsid w:val="00341603"/>
    <w:rsid w:val="00341BE6"/>
    <w:rsid w:val="00341D9C"/>
    <w:rsid w:val="003427FB"/>
    <w:rsid w:val="00343069"/>
    <w:rsid w:val="00343927"/>
    <w:rsid w:val="00343F7B"/>
    <w:rsid w:val="003443EC"/>
    <w:rsid w:val="00345651"/>
    <w:rsid w:val="00346828"/>
    <w:rsid w:val="003504F5"/>
    <w:rsid w:val="00350D7A"/>
    <w:rsid w:val="00351323"/>
    <w:rsid w:val="003530DF"/>
    <w:rsid w:val="00353480"/>
    <w:rsid w:val="00353D23"/>
    <w:rsid w:val="00355083"/>
    <w:rsid w:val="00355BB7"/>
    <w:rsid w:val="00357264"/>
    <w:rsid w:val="00361100"/>
    <w:rsid w:val="00361C04"/>
    <w:rsid w:val="00363AE8"/>
    <w:rsid w:val="00366E90"/>
    <w:rsid w:val="00366EB0"/>
    <w:rsid w:val="00367EA1"/>
    <w:rsid w:val="003710A6"/>
    <w:rsid w:val="00372176"/>
    <w:rsid w:val="003725B8"/>
    <w:rsid w:val="00372FAC"/>
    <w:rsid w:val="00373940"/>
    <w:rsid w:val="00374449"/>
    <w:rsid w:val="00376913"/>
    <w:rsid w:val="00377C85"/>
    <w:rsid w:val="00380316"/>
    <w:rsid w:val="003803F7"/>
    <w:rsid w:val="0038058A"/>
    <w:rsid w:val="003806CE"/>
    <w:rsid w:val="00380840"/>
    <w:rsid w:val="00380AEE"/>
    <w:rsid w:val="00380E63"/>
    <w:rsid w:val="0038126B"/>
    <w:rsid w:val="0038253A"/>
    <w:rsid w:val="00383A45"/>
    <w:rsid w:val="003844EA"/>
    <w:rsid w:val="003850D8"/>
    <w:rsid w:val="003904C3"/>
    <w:rsid w:val="00390741"/>
    <w:rsid w:val="00390889"/>
    <w:rsid w:val="0039227D"/>
    <w:rsid w:val="00392412"/>
    <w:rsid w:val="00392DC9"/>
    <w:rsid w:val="0039331C"/>
    <w:rsid w:val="00394957"/>
    <w:rsid w:val="00394A5E"/>
    <w:rsid w:val="00394E44"/>
    <w:rsid w:val="0039681D"/>
    <w:rsid w:val="0039726F"/>
    <w:rsid w:val="0039731B"/>
    <w:rsid w:val="00397676"/>
    <w:rsid w:val="00397BCC"/>
    <w:rsid w:val="00397D0E"/>
    <w:rsid w:val="00397EF8"/>
    <w:rsid w:val="003A1DB6"/>
    <w:rsid w:val="003A235A"/>
    <w:rsid w:val="003A2A27"/>
    <w:rsid w:val="003A3B94"/>
    <w:rsid w:val="003A4393"/>
    <w:rsid w:val="003A47AE"/>
    <w:rsid w:val="003A56CD"/>
    <w:rsid w:val="003A5FE5"/>
    <w:rsid w:val="003A76EB"/>
    <w:rsid w:val="003A7AF9"/>
    <w:rsid w:val="003B0B21"/>
    <w:rsid w:val="003B1E7D"/>
    <w:rsid w:val="003B1F4F"/>
    <w:rsid w:val="003B27D8"/>
    <w:rsid w:val="003B32E4"/>
    <w:rsid w:val="003B38E8"/>
    <w:rsid w:val="003B3E2B"/>
    <w:rsid w:val="003B41F2"/>
    <w:rsid w:val="003B4943"/>
    <w:rsid w:val="003B5A22"/>
    <w:rsid w:val="003B6D2E"/>
    <w:rsid w:val="003B6E68"/>
    <w:rsid w:val="003B6EB8"/>
    <w:rsid w:val="003B721B"/>
    <w:rsid w:val="003B7BBF"/>
    <w:rsid w:val="003B7D50"/>
    <w:rsid w:val="003C00AA"/>
    <w:rsid w:val="003C0996"/>
    <w:rsid w:val="003C15F6"/>
    <w:rsid w:val="003C1979"/>
    <w:rsid w:val="003C1A66"/>
    <w:rsid w:val="003C2638"/>
    <w:rsid w:val="003C2756"/>
    <w:rsid w:val="003C2D40"/>
    <w:rsid w:val="003C3483"/>
    <w:rsid w:val="003C4107"/>
    <w:rsid w:val="003C418E"/>
    <w:rsid w:val="003C444B"/>
    <w:rsid w:val="003C7237"/>
    <w:rsid w:val="003C7CC1"/>
    <w:rsid w:val="003C7FBC"/>
    <w:rsid w:val="003D035A"/>
    <w:rsid w:val="003D0506"/>
    <w:rsid w:val="003D3A65"/>
    <w:rsid w:val="003D5084"/>
    <w:rsid w:val="003D51A8"/>
    <w:rsid w:val="003D51CC"/>
    <w:rsid w:val="003D53D6"/>
    <w:rsid w:val="003D587F"/>
    <w:rsid w:val="003D5D78"/>
    <w:rsid w:val="003D6286"/>
    <w:rsid w:val="003D793F"/>
    <w:rsid w:val="003E0A05"/>
    <w:rsid w:val="003E0E84"/>
    <w:rsid w:val="003E0F6D"/>
    <w:rsid w:val="003E18F1"/>
    <w:rsid w:val="003E236C"/>
    <w:rsid w:val="003E46EA"/>
    <w:rsid w:val="003E50DB"/>
    <w:rsid w:val="003E535D"/>
    <w:rsid w:val="003E5A4C"/>
    <w:rsid w:val="003E6264"/>
    <w:rsid w:val="003E7EE5"/>
    <w:rsid w:val="003F05FA"/>
    <w:rsid w:val="003F0917"/>
    <w:rsid w:val="003F1064"/>
    <w:rsid w:val="003F19BB"/>
    <w:rsid w:val="003F24FF"/>
    <w:rsid w:val="003F3353"/>
    <w:rsid w:val="003F416F"/>
    <w:rsid w:val="003F4363"/>
    <w:rsid w:val="003F49C9"/>
    <w:rsid w:val="003F4BDA"/>
    <w:rsid w:val="003F644C"/>
    <w:rsid w:val="003F6D55"/>
    <w:rsid w:val="00400C22"/>
    <w:rsid w:val="004019CF"/>
    <w:rsid w:val="00403D86"/>
    <w:rsid w:val="00404E89"/>
    <w:rsid w:val="00406BB4"/>
    <w:rsid w:val="004070BD"/>
    <w:rsid w:val="004075C6"/>
    <w:rsid w:val="004075F6"/>
    <w:rsid w:val="00410227"/>
    <w:rsid w:val="00410D1C"/>
    <w:rsid w:val="00410D95"/>
    <w:rsid w:val="0041201E"/>
    <w:rsid w:val="00413535"/>
    <w:rsid w:val="00413A74"/>
    <w:rsid w:val="00413A84"/>
    <w:rsid w:val="004154C0"/>
    <w:rsid w:val="00415924"/>
    <w:rsid w:val="00415D95"/>
    <w:rsid w:val="00416429"/>
    <w:rsid w:val="004165F4"/>
    <w:rsid w:val="0041715F"/>
    <w:rsid w:val="0042098B"/>
    <w:rsid w:val="00421169"/>
    <w:rsid w:val="004213F5"/>
    <w:rsid w:val="00422369"/>
    <w:rsid w:val="00422C05"/>
    <w:rsid w:val="00423182"/>
    <w:rsid w:val="004236B3"/>
    <w:rsid w:val="00423866"/>
    <w:rsid w:val="00423B88"/>
    <w:rsid w:val="0042534A"/>
    <w:rsid w:val="00425B62"/>
    <w:rsid w:val="0042683F"/>
    <w:rsid w:val="00426F4A"/>
    <w:rsid w:val="0043013C"/>
    <w:rsid w:val="00430768"/>
    <w:rsid w:val="00430B16"/>
    <w:rsid w:val="00430B7E"/>
    <w:rsid w:val="004310F9"/>
    <w:rsid w:val="0043402D"/>
    <w:rsid w:val="004348CE"/>
    <w:rsid w:val="004358F7"/>
    <w:rsid w:val="0043623E"/>
    <w:rsid w:val="00436E00"/>
    <w:rsid w:val="00436F1F"/>
    <w:rsid w:val="004378A6"/>
    <w:rsid w:val="00437EF3"/>
    <w:rsid w:val="0044054F"/>
    <w:rsid w:val="00440BF9"/>
    <w:rsid w:val="0044443A"/>
    <w:rsid w:val="00445645"/>
    <w:rsid w:val="0044587F"/>
    <w:rsid w:val="00445A32"/>
    <w:rsid w:val="00447AA5"/>
    <w:rsid w:val="00447E22"/>
    <w:rsid w:val="00447E72"/>
    <w:rsid w:val="0045016B"/>
    <w:rsid w:val="00450251"/>
    <w:rsid w:val="00450853"/>
    <w:rsid w:val="00451C6E"/>
    <w:rsid w:val="00452A6C"/>
    <w:rsid w:val="00452F36"/>
    <w:rsid w:val="0045351E"/>
    <w:rsid w:val="0045358C"/>
    <w:rsid w:val="004538C4"/>
    <w:rsid w:val="0045403C"/>
    <w:rsid w:val="004544B1"/>
    <w:rsid w:val="00454967"/>
    <w:rsid w:val="00454C88"/>
    <w:rsid w:val="00454E65"/>
    <w:rsid w:val="00455000"/>
    <w:rsid w:val="00455480"/>
    <w:rsid w:val="00455C24"/>
    <w:rsid w:val="00455E9A"/>
    <w:rsid w:val="00456175"/>
    <w:rsid w:val="004561A6"/>
    <w:rsid w:val="004565D7"/>
    <w:rsid w:val="00460353"/>
    <w:rsid w:val="00460B88"/>
    <w:rsid w:val="0046182D"/>
    <w:rsid w:val="00461863"/>
    <w:rsid w:val="004626F4"/>
    <w:rsid w:val="00463042"/>
    <w:rsid w:val="00463051"/>
    <w:rsid w:val="0046358F"/>
    <w:rsid w:val="004639B8"/>
    <w:rsid w:val="00467AE8"/>
    <w:rsid w:val="004715E1"/>
    <w:rsid w:val="00471684"/>
    <w:rsid w:val="00471914"/>
    <w:rsid w:val="004721DC"/>
    <w:rsid w:val="0047350C"/>
    <w:rsid w:val="004735DD"/>
    <w:rsid w:val="00473978"/>
    <w:rsid w:val="0047481D"/>
    <w:rsid w:val="00474DBE"/>
    <w:rsid w:val="00475931"/>
    <w:rsid w:val="00475A0A"/>
    <w:rsid w:val="00477055"/>
    <w:rsid w:val="00480159"/>
    <w:rsid w:val="004802BD"/>
    <w:rsid w:val="004807D2"/>
    <w:rsid w:val="004826B9"/>
    <w:rsid w:val="00484425"/>
    <w:rsid w:val="0048524F"/>
    <w:rsid w:val="00485401"/>
    <w:rsid w:val="00486C3E"/>
    <w:rsid w:val="00486D83"/>
    <w:rsid w:val="00487B7C"/>
    <w:rsid w:val="0049018B"/>
    <w:rsid w:val="00491B60"/>
    <w:rsid w:val="00492D21"/>
    <w:rsid w:val="0049349F"/>
    <w:rsid w:val="00493EF9"/>
    <w:rsid w:val="004968C0"/>
    <w:rsid w:val="004A060C"/>
    <w:rsid w:val="004A0ACD"/>
    <w:rsid w:val="004A11FF"/>
    <w:rsid w:val="004A1993"/>
    <w:rsid w:val="004A2165"/>
    <w:rsid w:val="004A21D6"/>
    <w:rsid w:val="004A2437"/>
    <w:rsid w:val="004A2DEE"/>
    <w:rsid w:val="004A339E"/>
    <w:rsid w:val="004A4E31"/>
    <w:rsid w:val="004A5FFA"/>
    <w:rsid w:val="004A7FDB"/>
    <w:rsid w:val="004B02D7"/>
    <w:rsid w:val="004B099E"/>
    <w:rsid w:val="004B0ACA"/>
    <w:rsid w:val="004B14F0"/>
    <w:rsid w:val="004B1690"/>
    <w:rsid w:val="004B61E8"/>
    <w:rsid w:val="004B6728"/>
    <w:rsid w:val="004B69E9"/>
    <w:rsid w:val="004B6BDA"/>
    <w:rsid w:val="004B7F84"/>
    <w:rsid w:val="004C07EF"/>
    <w:rsid w:val="004C1346"/>
    <w:rsid w:val="004C18F4"/>
    <w:rsid w:val="004C24C5"/>
    <w:rsid w:val="004C2FEC"/>
    <w:rsid w:val="004C309D"/>
    <w:rsid w:val="004C34DC"/>
    <w:rsid w:val="004C3BE9"/>
    <w:rsid w:val="004C3E1E"/>
    <w:rsid w:val="004C4784"/>
    <w:rsid w:val="004C4C40"/>
    <w:rsid w:val="004C660F"/>
    <w:rsid w:val="004C70EE"/>
    <w:rsid w:val="004C7257"/>
    <w:rsid w:val="004C76CD"/>
    <w:rsid w:val="004D06E9"/>
    <w:rsid w:val="004D1978"/>
    <w:rsid w:val="004D34D6"/>
    <w:rsid w:val="004D3D67"/>
    <w:rsid w:val="004D48F4"/>
    <w:rsid w:val="004D5239"/>
    <w:rsid w:val="004D5781"/>
    <w:rsid w:val="004D615D"/>
    <w:rsid w:val="004D7C45"/>
    <w:rsid w:val="004E1D68"/>
    <w:rsid w:val="004E1DA3"/>
    <w:rsid w:val="004E24F8"/>
    <w:rsid w:val="004E250B"/>
    <w:rsid w:val="004E266A"/>
    <w:rsid w:val="004E2830"/>
    <w:rsid w:val="004E2A01"/>
    <w:rsid w:val="004E2ACB"/>
    <w:rsid w:val="004E373E"/>
    <w:rsid w:val="004E596A"/>
    <w:rsid w:val="004E5AFB"/>
    <w:rsid w:val="004E6CA8"/>
    <w:rsid w:val="004E7255"/>
    <w:rsid w:val="004E7B45"/>
    <w:rsid w:val="004F07C6"/>
    <w:rsid w:val="004F109C"/>
    <w:rsid w:val="004F14F6"/>
    <w:rsid w:val="004F21D9"/>
    <w:rsid w:val="004F2A98"/>
    <w:rsid w:val="004F7686"/>
    <w:rsid w:val="004F786F"/>
    <w:rsid w:val="005002AA"/>
    <w:rsid w:val="00500ABD"/>
    <w:rsid w:val="00501364"/>
    <w:rsid w:val="00501381"/>
    <w:rsid w:val="00503253"/>
    <w:rsid w:val="0050329B"/>
    <w:rsid w:val="00503A23"/>
    <w:rsid w:val="00503F6D"/>
    <w:rsid w:val="00503FC5"/>
    <w:rsid w:val="0050555F"/>
    <w:rsid w:val="005068F4"/>
    <w:rsid w:val="00510853"/>
    <w:rsid w:val="005108AC"/>
    <w:rsid w:val="00510EEB"/>
    <w:rsid w:val="0051146F"/>
    <w:rsid w:val="005116A5"/>
    <w:rsid w:val="00511720"/>
    <w:rsid w:val="00511D79"/>
    <w:rsid w:val="00511E3C"/>
    <w:rsid w:val="005122E2"/>
    <w:rsid w:val="00513451"/>
    <w:rsid w:val="0051429E"/>
    <w:rsid w:val="00514C3C"/>
    <w:rsid w:val="00515313"/>
    <w:rsid w:val="00516BF1"/>
    <w:rsid w:val="005219D2"/>
    <w:rsid w:val="00522778"/>
    <w:rsid w:val="00522BC2"/>
    <w:rsid w:val="00522CAC"/>
    <w:rsid w:val="00523096"/>
    <w:rsid w:val="005252C8"/>
    <w:rsid w:val="00525D40"/>
    <w:rsid w:val="005278DB"/>
    <w:rsid w:val="00530F29"/>
    <w:rsid w:val="005312EC"/>
    <w:rsid w:val="00531395"/>
    <w:rsid w:val="00531C4A"/>
    <w:rsid w:val="005337C2"/>
    <w:rsid w:val="00533CDB"/>
    <w:rsid w:val="0053459C"/>
    <w:rsid w:val="005348AE"/>
    <w:rsid w:val="00536110"/>
    <w:rsid w:val="005362F9"/>
    <w:rsid w:val="00536AE8"/>
    <w:rsid w:val="005371B1"/>
    <w:rsid w:val="005412D3"/>
    <w:rsid w:val="00541F88"/>
    <w:rsid w:val="005421CC"/>
    <w:rsid w:val="00542D3D"/>
    <w:rsid w:val="005437A8"/>
    <w:rsid w:val="00543B70"/>
    <w:rsid w:val="00543E53"/>
    <w:rsid w:val="00543F17"/>
    <w:rsid w:val="005453B3"/>
    <w:rsid w:val="00546366"/>
    <w:rsid w:val="00547ADF"/>
    <w:rsid w:val="00547CC4"/>
    <w:rsid w:val="00550F83"/>
    <w:rsid w:val="005515CF"/>
    <w:rsid w:val="005516B1"/>
    <w:rsid w:val="00552288"/>
    <w:rsid w:val="00553587"/>
    <w:rsid w:val="0055368D"/>
    <w:rsid w:val="00554472"/>
    <w:rsid w:val="00554A8C"/>
    <w:rsid w:val="00556246"/>
    <w:rsid w:val="005563BC"/>
    <w:rsid w:val="0055654E"/>
    <w:rsid w:val="005566BB"/>
    <w:rsid w:val="005568C6"/>
    <w:rsid w:val="0055783F"/>
    <w:rsid w:val="00557C34"/>
    <w:rsid w:val="00560651"/>
    <w:rsid w:val="0056066E"/>
    <w:rsid w:val="00560CD8"/>
    <w:rsid w:val="0056111C"/>
    <w:rsid w:val="00561CAA"/>
    <w:rsid w:val="005623E5"/>
    <w:rsid w:val="00562D63"/>
    <w:rsid w:val="005630ED"/>
    <w:rsid w:val="005638FC"/>
    <w:rsid w:val="00566018"/>
    <w:rsid w:val="00566626"/>
    <w:rsid w:val="00566877"/>
    <w:rsid w:val="00566DE8"/>
    <w:rsid w:val="00567E96"/>
    <w:rsid w:val="00570250"/>
    <w:rsid w:val="00570440"/>
    <w:rsid w:val="005705E2"/>
    <w:rsid w:val="005714A9"/>
    <w:rsid w:val="005714F1"/>
    <w:rsid w:val="0057185A"/>
    <w:rsid w:val="00571AA8"/>
    <w:rsid w:val="0057253E"/>
    <w:rsid w:val="00572E99"/>
    <w:rsid w:val="00573BC1"/>
    <w:rsid w:val="00574E0D"/>
    <w:rsid w:val="005750BD"/>
    <w:rsid w:val="00575F1C"/>
    <w:rsid w:val="00576067"/>
    <w:rsid w:val="0057650B"/>
    <w:rsid w:val="005766B2"/>
    <w:rsid w:val="00577524"/>
    <w:rsid w:val="0057753C"/>
    <w:rsid w:val="00577EF7"/>
    <w:rsid w:val="00580353"/>
    <w:rsid w:val="005804E9"/>
    <w:rsid w:val="0058075A"/>
    <w:rsid w:val="00580B8F"/>
    <w:rsid w:val="00582393"/>
    <w:rsid w:val="005842BA"/>
    <w:rsid w:val="00584E66"/>
    <w:rsid w:val="005857B0"/>
    <w:rsid w:val="00587CE6"/>
    <w:rsid w:val="005905CC"/>
    <w:rsid w:val="005909CA"/>
    <w:rsid w:val="00590FEA"/>
    <w:rsid w:val="00591184"/>
    <w:rsid w:val="00591439"/>
    <w:rsid w:val="00591614"/>
    <w:rsid w:val="005932BB"/>
    <w:rsid w:val="00593FAF"/>
    <w:rsid w:val="00594C74"/>
    <w:rsid w:val="005951ED"/>
    <w:rsid w:val="00595DA3"/>
    <w:rsid w:val="00596C35"/>
    <w:rsid w:val="00596D03"/>
    <w:rsid w:val="005971B3"/>
    <w:rsid w:val="00597614"/>
    <w:rsid w:val="0059799A"/>
    <w:rsid w:val="005A066F"/>
    <w:rsid w:val="005A14D2"/>
    <w:rsid w:val="005A4F32"/>
    <w:rsid w:val="005A5751"/>
    <w:rsid w:val="005A5B1D"/>
    <w:rsid w:val="005A5C13"/>
    <w:rsid w:val="005A5FD2"/>
    <w:rsid w:val="005A6162"/>
    <w:rsid w:val="005A6C32"/>
    <w:rsid w:val="005A7C07"/>
    <w:rsid w:val="005B0781"/>
    <w:rsid w:val="005B08E6"/>
    <w:rsid w:val="005B1A14"/>
    <w:rsid w:val="005B2652"/>
    <w:rsid w:val="005B2EBB"/>
    <w:rsid w:val="005B4697"/>
    <w:rsid w:val="005B4855"/>
    <w:rsid w:val="005B5DBF"/>
    <w:rsid w:val="005C0165"/>
    <w:rsid w:val="005C02A2"/>
    <w:rsid w:val="005C075A"/>
    <w:rsid w:val="005C34D1"/>
    <w:rsid w:val="005C42EF"/>
    <w:rsid w:val="005C43DF"/>
    <w:rsid w:val="005C4EF9"/>
    <w:rsid w:val="005C5857"/>
    <w:rsid w:val="005C5963"/>
    <w:rsid w:val="005C5BFE"/>
    <w:rsid w:val="005C62D7"/>
    <w:rsid w:val="005C67B6"/>
    <w:rsid w:val="005C6950"/>
    <w:rsid w:val="005C7589"/>
    <w:rsid w:val="005C7E4A"/>
    <w:rsid w:val="005D0531"/>
    <w:rsid w:val="005D0C9F"/>
    <w:rsid w:val="005D18EE"/>
    <w:rsid w:val="005D30E6"/>
    <w:rsid w:val="005D35E6"/>
    <w:rsid w:val="005D3DE3"/>
    <w:rsid w:val="005D4957"/>
    <w:rsid w:val="005D4D7E"/>
    <w:rsid w:val="005D4D84"/>
    <w:rsid w:val="005D5057"/>
    <w:rsid w:val="005D6FAD"/>
    <w:rsid w:val="005E0A9B"/>
    <w:rsid w:val="005E1B9A"/>
    <w:rsid w:val="005E30E3"/>
    <w:rsid w:val="005E3E05"/>
    <w:rsid w:val="005E3E82"/>
    <w:rsid w:val="005E4827"/>
    <w:rsid w:val="005E5EA1"/>
    <w:rsid w:val="005E6D65"/>
    <w:rsid w:val="005E6D75"/>
    <w:rsid w:val="005F0077"/>
    <w:rsid w:val="005F21ED"/>
    <w:rsid w:val="005F2210"/>
    <w:rsid w:val="005F26F6"/>
    <w:rsid w:val="005F3276"/>
    <w:rsid w:val="005F33C7"/>
    <w:rsid w:val="005F3DC7"/>
    <w:rsid w:val="005F49A4"/>
    <w:rsid w:val="005F4A50"/>
    <w:rsid w:val="005F5CCD"/>
    <w:rsid w:val="005F74FD"/>
    <w:rsid w:val="005F75A1"/>
    <w:rsid w:val="005F7D2E"/>
    <w:rsid w:val="005F7F64"/>
    <w:rsid w:val="00601154"/>
    <w:rsid w:val="0060160A"/>
    <w:rsid w:val="00601F9D"/>
    <w:rsid w:val="006020E6"/>
    <w:rsid w:val="00602CCE"/>
    <w:rsid w:val="006033E4"/>
    <w:rsid w:val="00603712"/>
    <w:rsid w:val="00603A23"/>
    <w:rsid w:val="00604396"/>
    <w:rsid w:val="00604667"/>
    <w:rsid w:val="00605705"/>
    <w:rsid w:val="00605AAD"/>
    <w:rsid w:val="006072ED"/>
    <w:rsid w:val="00607758"/>
    <w:rsid w:val="00607930"/>
    <w:rsid w:val="00607ECD"/>
    <w:rsid w:val="00610F0A"/>
    <w:rsid w:val="00611DED"/>
    <w:rsid w:val="00611EC1"/>
    <w:rsid w:val="0061242F"/>
    <w:rsid w:val="006126B1"/>
    <w:rsid w:val="006131A5"/>
    <w:rsid w:val="0061519F"/>
    <w:rsid w:val="006156BD"/>
    <w:rsid w:val="006156F0"/>
    <w:rsid w:val="006165DC"/>
    <w:rsid w:val="0061663B"/>
    <w:rsid w:val="00616720"/>
    <w:rsid w:val="00617532"/>
    <w:rsid w:val="00620D72"/>
    <w:rsid w:val="006214EF"/>
    <w:rsid w:val="00622EAE"/>
    <w:rsid w:val="00623843"/>
    <w:rsid w:val="0062410D"/>
    <w:rsid w:val="00624321"/>
    <w:rsid w:val="00624BB6"/>
    <w:rsid w:val="0062585F"/>
    <w:rsid w:val="00625B0D"/>
    <w:rsid w:val="00625B3D"/>
    <w:rsid w:val="00626049"/>
    <w:rsid w:val="0062610C"/>
    <w:rsid w:val="006269B4"/>
    <w:rsid w:val="006310D3"/>
    <w:rsid w:val="006316FC"/>
    <w:rsid w:val="0063226D"/>
    <w:rsid w:val="00632359"/>
    <w:rsid w:val="00632FB1"/>
    <w:rsid w:val="00633598"/>
    <w:rsid w:val="00633ED7"/>
    <w:rsid w:val="0063472B"/>
    <w:rsid w:val="00635DAF"/>
    <w:rsid w:val="0063641A"/>
    <w:rsid w:val="0064211A"/>
    <w:rsid w:val="006432CD"/>
    <w:rsid w:val="006434BA"/>
    <w:rsid w:val="00644204"/>
    <w:rsid w:val="00646776"/>
    <w:rsid w:val="00646B0A"/>
    <w:rsid w:val="00646FAB"/>
    <w:rsid w:val="006471C7"/>
    <w:rsid w:val="00647227"/>
    <w:rsid w:val="00647264"/>
    <w:rsid w:val="006473F5"/>
    <w:rsid w:val="00647A6D"/>
    <w:rsid w:val="0065023E"/>
    <w:rsid w:val="006505E6"/>
    <w:rsid w:val="0065296C"/>
    <w:rsid w:val="006529BA"/>
    <w:rsid w:val="006534D6"/>
    <w:rsid w:val="00653C94"/>
    <w:rsid w:val="00654192"/>
    <w:rsid w:val="00654408"/>
    <w:rsid w:val="00654439"/>
    <w:rsid w:val="006549EB"/>
    <w:rsid w:val="00654E6C"/>
    <w:rsid w:val="00655433"/>
    <w:rsid w:val="00655D8F"/>
    <w:rsid w:val="0065642B"/>
    <w:rsid w:val="00656771"/>
    <w:rsid w:val="006567CB"/>
    <w:rsid w:val="00656976"/>
    <w:rsid w:val="006574FB"/>
    <w:rsid w:val="00657CC4"/>
    <w:rsid w:val="006613DD"/>
    <w:rsid w:val="00661943"/>
    <w:rsid w:val="00662307"/>
    <w:rsid w:val="00662485"/>
    <w:rsid w:val="006631F7"/>
    <w:rsid w:val="00663B09"/>
    <w:rsid w:val="00664B12"/>
    <w:rsid w:val="00664BBB"/>
    <w:rsid w:val="00664DDA"/>
    <w:rsid w:val="006653C0"/>
    <w:rsid w:val="00670682"/>
    <w:rsid w:val="00671454"/>
    <w:rsid w:val="006721A7"/>
    <w:rsid w:val="00672B0F"/>
    <w:rsid w:val="00673329"/>
    <w:rsid w:val="0067421F"/>
    <w:rsid w:val="006749E2"/>
    <w:rsid w:val="00675350"/>
    <w:rsid w:val="00676294"/>
    <w:rsid w:val="00677A7C"/>
    <w:rsid w:val="006808B4"/>
    <w:rsid w:val="00681BE0"/>
    <w:rsid w:val="00682403"/>
    <w:rsid w:val="00682AC3"/>
    <w:rsid w:val="00682D71"/>
    <w:rsid w:val="00682EB0"/>
    <w:rsid w:val="006831A9"/>
    <w:rsid w:val="006838CC"/>
    <w:rsid w:val="00683E82"/>
    <w:rsid w:val="00686692"/>
    <w:rsid w:val="006868D9"/>
    <w:rsid w:val="00691CE6"/>
    <w:rsid w:val="00691E96"/>
    <w:rsid w:val="006925CC"/>
    <w:rsid w:val="00692FAA"/>
    <w:rsid w:val="00693A77"/>
    <w:rsid w:val="006948EA"/>
    <w:rsid w:val="0069526D"/>
    <w:rsid w:val="00695AC2"/>
    <w:rsid w:val="006963D1"/>
    <w:rsid w:val="00696A0B"/>
    <w:rsid w:val="006A28DC"/>
    <w:rsid w:val="006A4E11"/>
    <w:rsid w:val="006A5D8C"/>
    <w:rsid w:val="006A6AE3"/>
    <w:rsid w:val="006A6E45"/>
    <w:rsid w:val="006A7224"/>
    <w:rsid w:val="006A77C3"/>
    <w:rsid w:val="006A7CF5"/>
    <w:rsid w:val="006B0976"/>
    <w:rsid w:val="006B0998"/>
    <w:rsid w:val="006B1927"/>
    <w:rsid w:val="006B1B0F"/>
    <w:rsid w:val="006B2607"/>
    <w:rsid w:val="006B3863"/>
    <w:rsid w:val="006B3A9F"/>
    <w:rsid w:val="006B4E1F"/>
    <w:rsid w:val="006B4F40"/>
    <w:rsid w:val="006B4F4A"/>
    <w:rsid w:val="006B50A0"/>
    <w:rsid w:val="006B522D"/>
    <w:rsid w:val="006B53CF"/>
    <w:rsid w:val="006B577B"/>
    <w:rsid w:val="006B5B0E"/>
    <w:rsid w:val="006B601E"/>
    <w:rsid w:val="006B679E"/>
    <w:rsid w:val="006C086A"/>
    <w:rsid w:val="006C198C"/>
    <w:rsid w:val="006C1E8A"/>
    <w:rsid w:val="006C2731"/>
    <w:rsid w:val="006C30D8"/>
    <w:rsid w:val="006C4B0F"/>
    <w:rsid w:val="006C4CA8"/>
    <w:rsid w:val="006C7296"/>
    <w:rsid w:val="006C72C1"/>
    <w:rsid w:val="006C740E"/>
    <w:rsid w:val="006C7A0A"/>
    <w:rsid w:val="006D10F7"/>
    <w:rsid w:val="006D11B9"/>
    <w:rsid w:val="006D139E"/>
    <w:rsid w:val="006D16A0"/>
    <w:rsid w:val="006D18F0"/>
    <w:rsid w:val="006D2A2E"/>
    <w:rsid w:val="006D2D5D"/>
    <w:rsid w:val="006D419B"/>
    <w:rsid w:val="006D43B8"/>
    <w:rsid w:val="006D755A"/>
    <w:rsid w:val="006E0D1F"/>
    <w:rsid w:val="006E1396"/>
    <w:rsid w:val="006E5315"/>
    <w:rsid w:val="006E543B"/>
    <w:rsid w:val="006E543C"/>
    <w:rsid w:val="006E7798"/>
    <w:rsid w:val="006F127D"/>
    <w:rsid w:val="006F3BB1"/>
    <w:rsid w:val="006F4141"/>
    <w:rsid w:val="006F417D"/>
    <w:rsid w:val="006F4B87"/>
    <w:rsid w:val="006F5793"/>
    <w:rsid w:val="006F5F82"/>
    <w:rsid w:val="006F60C7"/>
    <w:rsid w:val="006F6B9B"/>
    <w:rsid w:val="006F71BB"/>
    <w:rsid w:val="006F7A3D"/>
    <w:rsid w:val="00700413"/>
    <w:rsid w:val="0070303F"/>
    <w:rsid w:val="007037F8"/>
    <w:rsid w:val="007043ED"/>
    <w:rsid w:val="00706459"/>
    <w:rsid w:val="0070689E"/>
    <w:rsid w:val="007074DA"/>
    <w:rsid w:val="00707945"/>
    <w:rsid w:val="00707CA5"/>
    <w:rsid w:val="00707D4B"/>
    <w:rsid w:val="007100A6"/>
    <w:rsid w:val="0071031F"/>
    <w:rsid w:val="00711A2A"/>
    <w:rsid w:val="00712B13"/>
    <w:rsid w:val="007138CE"/>
    <w:rsid w:val="007147D6"/>
    <w:rsid w:val="00714DB8"/>
    <w:rsid w:val="0071590C"/>
    <w:rsid w:val="00715F59"/>
    <w:rsid w:val="0071749D"/>
    <w:rsid w:val="007176A9"/>
    <w:rsid w:val="00717904"/>
    <w:rsid w:val="00717FB9"/>
    <w:rsid w:val="00720C43"/>
    <w:rsid w:val="00720DEF"/>
    <w:rsid w:val="00723196"/>
    <w:rsid w:val="00724D46"/>
    <w:rsid w:val="00725392"/>
    <w:rsid w:val="00725529"/>
    <w:rsid w:val="0072587B"/>
    <w:rsid w:val="00725949"/>
    <w:rsid w:val="00725F36"/>
    <w:rsid w:val="00726374"/>
    <w:rsid w:val="00727414"/>
    <w:rsid w:val="00730AB3"/>
    <w:rsid w:val="00731157"/>
    <w:rsid w:val="007322B3"/>
    <w:rsid w:val="00732D10"/>
    <w:rsid w:val="00733D59"/>
    <w:rsid w:val="00735968"/>
    <w:rsid w:val="00735ABA"/>
    <w:rsid w:val="007360C4"/>
    <w:rsid w:val="00736564"/>
    <w:rsid w:val="0073709E"/>
    <w:rsid w:val="007376F3"/>
    <w:rsid w:val="007416EB"/>
    <w:rsid w:val="007437F6"/>
    <w:rsid w:val="00743E5E"/>
    <w:rsid w:val="00744206"/>
    <w:rsid w:val="00744AF6"/>
    <w:rsid w:val="0074562C"/>
    <w:rsid w:val="00750E1C"/>
    <w:rsid w:val="0075123A"/>
    <w:rsid w:val="007512EC"/>
    <w:rsid w:val="00751553"/>
    <w:rsid w:val="00752D8D"/>
    <w:rsid w:val="00754BA4"/>
    <w:rsid w:val="00754EED"/>
    <w:rsid w:val="007557DF"/>
    <w:rsid w:val="0075654A"/>
    <w:rsid w:val="00756A77"/>
    <w:rsid w:val="00760C52"/>
    <w:rsid w:val="00761113"/>
    <w:rsid w:val="00761448"/>
    <w:rsid w:val="00761CBF"/>
    <w:rsid w:val="00761DCC"/>
    <w:rsid w:val="00762AF9"/>
    <w:rsid w:val="007637F6"/>
    <w:rsid w:val="00764BB5"/>
    <w:rsid w:val="00764D18"/>
    <w:rsid w:val="00764DE4"/>
    <w:rsid w:val="00765156"/>
    <w:rsid w:val="00766DBE"/>
    <w:rsid w:val="00767BE2"/>
    <w:rsid w:val="0077230F"/>
    <w:rsid w:val="00772802"/>
    <w:rsid w:val="00772CD8"/>
    <w:rsid w:val="00772D88"/>
    <w:rsid w:val="0077318A"/>
    <w:rsid w:val="00773A25"/>
    <w:rsid w:val="0077409D"/>
    <w:rsid w:val="00774432"/>
    <w:rsid w:val="00776378"/>
    <w:rsid w:val="00776573"/>
    <w:rsid w:val="007765B4"/>
    <w:rsid w:val="00776DA3"/>
    <w:rsid w:val="00777850"/>
    <w:rsid w:val="00780825"/>
    <w:rsid w:val="00780E18"/>
    <w:rsid w:val="0078199C"/>
    <w:rsid w:val="00781ADA"/>
    <w:rsid w:val="00783F57"/>
    <w:rsid w:val="0078406E"/>
    <w:rsid w:val="007859F4"/>
    <w:rsid w:val="00785F65"/>
    <w:rsid w:val="00787156"/>
    <w:rsid w:val="00787479"/>
    <w:rsid w:val="007905BB"/>
    <w:rsid w:val="0079348E"/>
    <w:rsid w:val="00793C3C"/>
    <w:rsid w:val="0079413E"/>
    <w:rsid w:val="00795392"/>
    <w:rsid w:val="007955D2"/>
    <w:rsid w:val="007956D9"/>
    <w:rsid w:val="00795F59"/>
    <w:rsid w:val="0079614A"/>
    <w:rsid w:val="00796330"/>
    <w:rsid w:val="007966EC"/>
    <w:rsid w:val="00797704"/>
    <w:rsid w:val="00797A5E"/>
    <w:rsid w:val="007A07CE"/>
    <w:rsid w:val="007A088B"/>
    <w:rsid w:val="007A09B8"/>
    <w:rsid w:val="007A15E2"/>
    <w:rsid w:val="007A233D"/>
    <w:rsid w:val="007A3D0B"/>
    <w:rsid w:val="007A3D91"/>
    <w:rsid w:val="007A43BF"/>
    <w:rsid w:val="007A5C07"/>
    <w:rsid w:val="007A64D5"/>
    <w:rsid w:val="007A6CE1"/>
    <w:rsid w:val="007A6D22"/>
    <w:rsid w:val="007A6D5E"/>
    <w:rsid w:val="007A6F77"/>
    <w:rsid w:val="007A79CD"/>
    <w:rsid w:val="007A79D5"/>
    <w:rsid w:val="007B086B"/>
    <w:rsid w:val="007B2DCE"/>
    <w:rsid w:val="007B47D7"/>
    <w:rsid w:val="007B4ED7"/>
    <w:rsid w:val="007B5A1E"/>
    <w:rsid w:val="007B6097"/>
    <w:rsid w:val="007B6A1B"/>
    <w:rsid w:val="007B6D50"/>
    <w:rsid w:val="007B6EEF"/>
    <w:rsid w:val="007B732E"/>
    <w:rsid w:val="007B77F6"/>
    <w:rsid w:val="007B7B4D"/>
    <w:rsid w:val="007B7CB4"/>
    <w:rsid w:val="007C1305"/>
    <w:rsid w:val="007C285D"/>
    <w:rsid w:val="007C3264"/>
    <w:rsid w:val="007C3AF5"/>
    <w:rsid w:val="007C3D2B"/>
    <w:rsid w:val="007C690A"/>
    <w:rsid w:val="007C77F2"/>
    <w:rsid w:val="007C7F8C"/>
    <w:rsid w:val="007D0FD3"/>
    <w:rsid w:val="007D10DF"/>
    <w:rsid w:val="007D1BE4"/>
    <w:rsid w:val="007D281D"/>
    <w:rsid w:val="007D2DFF"/>
    <w:rsid w:val="007D2EA8"/>
    <w:rsid w:val="007D2FE8"/>
    <w:rsid w:val="007D2FF2"/>
    <w:rsid w:val="007D3A07"/>
    <w:rsid w:val="007D472C"/>
    <w:rsid w:val="007D512F"/>
    <w:rsid w:val="007D525B"/>
    <w:rsid w:val="007D5755"/>
    <w:rsid w:val="007D5989"/>
    <w:rsid w:val="007D6F0F"/>
    <w:rsid w:val="007E109C"/>
    <w:rsid w:val="007E41FE"/>
    <w:rsid w:val="007E5C42"/>
    <w:rsid w:val="007E61B5"/>
    <w:rsid w:val="007E631C"/>
    <w:rsid w:val="007E6AF0"/>
    <w:rsid w:val="007E7851"/>
    <w:rsid w:val="007E7A5E"/>
    <w:rsid w:val="007F032E"/>
    <w:rsid w:val="007F22DC"/>
    <w:rsid w:val="007F2C8C"/>
    <w:rsid w:val="007F2CD9"/>
    <w:rsid w:val="007F3227"/>
    <w:rsid w:val="007F3B0E"/>
    <w:rsid w:val="007F59B7"/>
    <w:rsid w:val="007F7DF2"/>
    <w:rsid w:val="008050C0"/>
    <w:rsid w:val="008051E8"/>
    <w:rsid w:val="00805614"/>
    <w:rsid w:val="00805821"/>
    <w:rsid w:val="008063F9"/>
    <w:rsid w:val="00806BBF"/>
    <w:rsid w:val="00806DD9"/>
    <w:rsid w:val="00806EA4"/>
    <w:rsid w:val="0080792B"/>
    <w:rsid w:val="00807968"/>
    <w:rsid w:val="0080799E"/>
    <w:rsid w:val="008104C4"/>
    <w:rsid w:val="00811743"/>
    <w:rsid w:val="00812319"/>
    <w:rsid w:val="00812FDF"/>
    <w:rsid w:val="00813723"/>
    <w:rsid w:val="00813C5E"/>
    <w:rsid w:val="00813DED"/>
    <w:rsid w:val="008140E8"/>
    <w:rsid w:val="0081475E"/>
    <w:rsid w:val="008152DC"/>
    <w:rsid w:val="00815B61"/>
    <w:rsid w:val="00816066"/>
    <w:rsid w:val="00816145"/>
    <w:rsid w:val="00820E46"/>
    <w:rsid w:val="00821105"/>
    <w:rsid w:val="0082172C"/>
    <w:rsid w:val="00822E5E"/>
    <w:rsid w:val="00822FAE"/>
    <w:rsid w:val="0082327D"/>
    <w:rsid w:val="00823730"/>
    <w:rsid w:val="00823AFF"/>
    <w:rsid w:val="00824F5A"/>
    <w:rsid w:val="00826FB8"/>
    <w:rsid w:val="008270BC"/>
    <w:rsid w:val="00827125"/>
    <w:rsid w:val="00827CF3"/>
    <w:rsid w:val="00830F83"/>
    <w:rsid w:val="008315C0"/>
    <w:rsid w:val="0083195F"/>
    <w:rsid w:val="00832058"/>
    <w:rsid w:val="008327A3"/>
    <w:rsid w:val="00833D5A"/>
    <w:rsid w:val="00834310"/>
    <w:rsid w:val="008348C9"/>
    <w:rsid w:val="0083523A"/>
    <w:rsid w:val="0083560D"/>
    <w:rsid w:val="00837979"/>
    <w:rsid w:val="008402A6"/>
    <w:rsid w:val="00840EED"/>
    <w:rsid w:val="008411A9"/>
    <w:rsid w:val="008412A2"/>
    <w:rsid w:val="008421E8"/>
    <w:rsid w:val="008438F9"/>
    <w:rsid w:val="00844D8B"/>
    <w:rsid w:val="00844FCB"/>
    <w:rsid w:val="00845542"/>
    <w:rsid w:val="008466F0"/>
    <w:rsid w:val="008467C3"/>
    <w:rsid w:val="00846D12"/>
    <w:rsid w:val="00850603"/>
    <w:rsid w:val="0085230B"/>
    <w:rsid w:val="00852536"/>
    <w:rsid w:val="008536F5"/>
    <w:rsid w:val="008538FA"/>
    <w:rsid w:val="00853DD7"/>
    <w:rsid w:val="00853EEB"/>
    <w:rsid w:val="00854700"/>
    <w:rsid w:val="008555C1"/>
    <w:rsid w:val="00855A03"/>
    <w:rsid w:val="008564DA"/>
    <w:rsid w:val="00856F90"/>
    <w:rsid w:val="00857A30"/>
    <w:rsid w:val="00857A57"/>
    <w:rsid w:val="00860006"/>
    <w:rsid w:val="008607D7"/>
    <w:rsid w:val="00862835"/>
    <w:rsid w:val="0086374E"/>
    <w:rsid w:val="00863A07"/>
    <w:rsid w:val="00864173"/>
    <w:rsid w:val="00864B22"/>
    <w:rsid w:val="00870A89"/>
    <w:rsid w:val="00870E56"/>
    <w:rsid w:val="00871FA9"/>
    <w:rsid w:val="00872F06"/>
    <w:rsid w:val="0087571C"/>
    <w:rsid w:val="00876099"/>
    <w:rsid w:val="00876F33"/>
    <w:rsid w:val="00877BE3"/>
    <w:rsid w:val="00881414"/>
    <w:rsid w:val="00881ED5"/>
    <w:rsid w:val="00882244"/>
    <w:rsid w:val="008832C4"/>
    <w:rsid w:val="008834E0"/>
    <w:rsid w:val="00884624"/>
    <w:rsid w:val="008848A0"/>
    <w:rsid w:val="00884D9B"/>
    <w:rsid w:val="00886D46"/>
    <w:rsid w:val="00890120"/>
    <w:rsid w:val="00890915"/>
    <w:rsid w:val="008911A3"/>
    <w:rsid w:val="008920ED"/>
    <w:rsid w:val="00892E5D"/>
    <w:rsid w:val="00893B97"/>
    <w:rsid w:val="00894488"/>
    <w:rsid w:val="00894A88"/>
    <w:rsid w:val="00896A80"/>
    <w:rsid w:val="008977F0"/>
    <w:rsid w:val="00897A90"/>
    <w:rsid w:val="008A022B"/>
    <w:rsid w:val="008A135B"/>
    <w:rsid w:val="008A2DEC"/>
    <w:rsid w:val="008A3A56"/>
    <w:rsid w:val="008A4311"/>
    <w:rsid w:val="008A4F8D"/>
    <w:rsid w:val="008A51C5"/>
    <w:rsid w:val="008A552E"/>
    <w:rsid w:val="008A5F14"/>
    <w:rsid w:val="008A6282"/>
    <w:rsid w:val="008A75FA"/>
    <w:rsid w:val="008A79AB"/>
    <w:rsid w:val="008A7EAA"/>
    <w:rsid w:val="008A7F30"/>
    <w:rsid w:val="008B02FB"/>
    <w:rsid w:val="008B04BD"/>
    <w:rsid w:val="008B084A"/>
    <w:rsid w:val="008B1006"/>
    <w:rsid w:val="008B13C9"/>
    <w:rsid w:val="008B1B67"/>
    <w:rsid w:val="008B1EB9"/>
    <w:rsid w:val="008B1EF0"/>
    <w:rsid w:val="008B204C"/>
    <w:rsid w:val="008B3317"/>
    <w:rsid w:val="008B3405"/>
    <w:rsid w:val="008B4301"/>
    <w:rsid w:val="008B50D9"/>
    <w:rsid w:val="008B74DA"/>
    <w:rsid w:val="008B778F"/>
    <w:rsid w:val="008B783D"/>
    <w:rsid w:val="008B78F1"/>
    <w:rsid w:val="008C0382"/>
    <w:rsid w:val="008C04CE"/>
    <w:rsid w:val="008C0543"/>
    <w:rsid w:val="008C0C16"/>
    <w:rsid w:val="008C2B12"/>
    <w:rsid w:val="008C31C7"/>
    <w:rsid w:val="008C34B2"/>
    <w:rsid w:val="008C374B"/>
    <w:rsid w:val="008C3B7C"/>
    <w:rsid w:val="008C476B"/>
    <w:rsid w:val="008C4D17"/>
    <w:rsid w:val="008C51A9"/>
    <w:rsid w:val="008C57A7"/>
    <w:rsid w:val="008C5B51"/>
    <w:rsid w:val="008C65AC"/>
    <w:rsid w:val="008C6E92"/>
    <w:rsid w:val="008D0594"/>
    <w:rsid w:val="008D0EAF"/>
    <w:rsid w:val="008D11CA"/>
    <w:rsid w:val="008D1539"/>
    <w:rsid w:val="008D16C6"/>
    <w:rsid w:val="008D18D4"/>
    <w:rsid w:val="008D1B39"/>
    <w:rsid w:val="008D1D08"/>
    <w:rsid w:val="008D21F7"/>
    <w:rsid w:val="008D2317"/>
    <w:rsid w:val="008D3A93"/>
    <w:rsid w:val="008D4589"/>
    <w:rsid w:val="008D4709"/>
    <w:rsid w:val="008D6FF1"/>
    <w:rsid w:val="008D751A"/>
    <w:rsid w:val="008D7C1D"/>
    <w:rsid w:val="008E0581"/>
    <w:rsid w:val="008E0D2C"/>
    <w:rsid w:val="008E3690"/>
    <w:rsid w:val="008E49FD"/>
    <w:rsid w:val="008E4A47"/>
    <w:rsid w:val="008E5985"/>
    <w:rsid w:val="008E5AEB"/>
    <w:rsid w:val="008E727D"/>
    <w:rsid w:val="008E77E2"/>
    <w:rsid w:val="008F0018"/>
    <w:rsid w:val="008F1A5B"/>
    <w:rsid w:val="008F3330"/>
    <w:rsid w:val="008F341A"/>
    <w:rsid w:val="008F35BC"/>
    <w:rsid w:val="008F3DDB"/>
    <w:rsid w:val="008F45D2"/>
    <w:rsid w:val="008F536E"/>
    <w:rsid w:val="008F5639"/>
    <w:rsid w:val="008F5882"/>
    <w:rsid w:val="008F5C4A"/>
    <w:rsid w:val="008F6909"/>
    <w:rsid w:val="008F6A2A"/>
    <w:rsid w:val="008F6AAE"/>
    <w:rsid w:val="008F7633"/>
    <w:rsid w:val="009001A7"/>
    <w:rsid w:val="00901D56"/>
    <w:rsid w:val="0090231E"/>
    <w:rsid w:val="00902AD6"/>
    <w:rsid w:val="0090414F"/>
    <w:rsid w:val="0090472D"/>
    <w:rsid w:val="00905791"/>
    <w:rsid w:val="00910C30"/>
    <w:rsid w:val="009112AC"/>
    <w:rsid w:val="0091141B"/>
    <w:rsid w:val="009126FE"/>
    <w:rsid w:val="0091280E"/>
    <w:rsid w:val="00914D06"/>
    <w:rsid w:val="009158ED"/>
    <w:rsid w:val="00916EDA"/>
    <w:rsid w:val="0091740A"/>
    <w:rsid w:val="00917A7A"/>
    <w:rsid w:val="00921E83"/>
    <w:rsid w:val="009222F8"/>
    <w:rsid w:val="00922387"/>
    <w:rsid w:val="00925892"/>
    <w:rsid w:val="00925E2A"/>
    <w:rsid w:val="009260AB"/>
    <w:rsid w:val="00926A9A"/>
    <w:rsid w:val="0092711D"/>
    <w:rsid w:val="00927529"/>
    <w:rsid w:val="00927DED"/>
    <w:rsid w:val="0093041A"/>
    <w:rsid w:val="0093072D"/>
    <w:rsid w:val="0093101B"/>
    <w:rsid w:val="00932265"/>
    <w:rsid w:val="00932908"/>
    <w:rsid w:val="00932A3A"/>
    <w:rsid w:val="00934B38"/>
    <w:rsid w:val="00934CCC"/>
    <w:rsid w:val="00935657"/>
    <w:rsid w:val="00937280"/>
    <w:rsid w:val="009372C0"/>
    <w:rsid w:val="0093768B"/>
    <w:rsid w:val="00937D33"/>
    <w:rsid w:val="00941908"/>
    <w:rsid w:val="009421FE"/>
    <w:rsid w:val="00942B65"/>
    <w:rsid w:val="0094523B"/>
    <w:rsid w:val="0094537C"/>
    <w:rsid w:val="0094673E"/>
    <w:rsid w:val="00946D48"/>
    <w:rsid w:val="0094795D"/>
    <w:rsid w:val="009503E6"/>
    <w:rsid w:val="00950DF2"/>
    <w:rsid w:val="00951073"/>
    <w:rsid w:val="00951479"/>
    <w:rsid w:val="0095204B"/>
    <w:rsid w:val="009522F4"/>
    <w:rsid w:val="00953985"/>
    <w:rsid w:val="009542CA"/>
    <w:rsid w:val="0095504E"/>
    <w:rsid w:val="009550EF"/>
    <w:rsid w:val="0095622B"/>
    <w:rsid w:val="00956928"/>
    <w:rsid w:val="00956A5F"/>
    <w:rsid w:val="00956ABE"/>
    <w:rsid w:val="00960C21"/>
    <w:rsid w:val="0096208D"/>
    <w:rsid w:val="0096298E"/>
    <w:rsid w:val="00962B16"/>
    <w:rsid w:val="00962C7A"/>
    <w:rsid w:val="0096546C"/>
    <w:rsid w:val="00967494"/>
    <w:rsid w:val="0096772C"/>
    <w:rsid w:val="00967A58"/>
    <w:rsid w:val="00970A2D"/>
    <w:rsid w:val="00971F51"/>
    <w:rsid w:val="00972381"/>
    <w:rsid w:val="009739F1"/>
    <w:rsid w:val="00976993"/>
    <w:rsid w:val="00976D74"/>
    <w:rsid w:val="009779EF"/>
    <w:rsid w:val="0098017C"/>
    <w:rsid w:val="009801F2"/>
    <w:rsid w:val="0098037C"/>
    <w:rsid w:val="00982927"/>
    <w:rsid w:val="009830BD"/>
    <w:rsid w:val="00983938"/>
    <w:rsid w:val="00983A35"/>
    <w:rsid w:val="009871B5"/>
    <w:rsid w:val="009872D7"/>
    <w:rsid w:val="00990648"/>
    <w:rsid w:val="00990DA0"/>
    <w:rsid w:val="00992560"/>
    <w:rsid w:val="00993EF0"/>
    <w:rsid w:val="009957E7"/>
    <w:rsid w:val="00995975"/>
    <w:rsid w:val="00996662"/>
    <w:rsid w:val="0099766F"/>
    <w:rsid w:val="00997F72"/>
    <w:rsid w:val="009A132B"/>
    <w:rsid w:val="009A367E"/>
    <w:rsid w:val="009A3869"/>
    <w:rsid w:val="009A3CDE"/>
    <w:rsid w:val="009A411D"/>
    <w:rsid w:val="009A4203"/>
    <w:rsid w:val="009A4715"/>
    <w:rsid w:val="009A6329"/>
    <w:rsid w:val="009A7ED2"/>
    <w:rsid w:val="009B00E2"/>
    <w:rsid w:val="009B0BDB"/>
    <w:rsid w:val="009B0EF7"/>
    <w:rsid w:val="009B17BE"/>
    <w:rsid w:val="009B2469"/>
    <w:rsid w:val="009B2578"/>
    <w:rsid w:val="009B2892"/>
    <w:rsid w:val="009B343A"/>
    <w:rsid w:val="009B391E"/>
    <w:rsid w:val="009B434A"/>
    <w:rsid w:val="009B50DB"/>
    <w:rsid w:val="009B53DF"/>
    <w:rsid w:val="009B5A3F"/>
    <w:rsid w:val="009B5B6D"/>
    <w:rsid w:val="009B6677"/>
    <w:rsid w:val="009B75AC"/>
    <w:rsid w:val="009B774E"/>
    <w:rsid w:val="009B7E0C"/>
    <w:rsid w:val="009C12C1"/>
    <w:rsid w:val="009C1515"/>
    <w:rsid w:val="009C1FC3"/>
    <w:rsid w:val="009C224F"/>
    <w:rsid w:val="009C2468"/>
    <w:rsid w:val="009C3B36"/>
    <w:rsid w:val="009C4AE7"/>
    <w:rsid w:val="009C4F3C"/>
    <w:rsid w:val="009C50CC"/>
    <w:rsid w:val="009C6974"/>
    <w:rsid w:val="009C6EAD"/>
    <w:rsid w:val="009D0209"/>
    <w:rsid w:val="009D0392"/>
    <w:rsid w:val="009D0C6B"/>
    <w:rsid w:val="009D115E"/>
    <w:rsid w:val="009D2362"/>
    <w:rsid w:val="009D2A8B"/>
    <w:rsid w:val="009D39C0"/>
    <w:rsid w:val="009D3A4C"/>
    <w:rsid w:val="009D3F32"/>
    <w:rsid w:val="009D435C"/>
    <w:rsid w:val="009D6311"/>
    <w:rsid w:val="009E1457"/>
    <w:rsid w:val="009E14D9"/>
    <w:rsid w:val="009E1A85"/>
    <w:rsid w:val="009E1EAB"/>
    <w:rsid w:val="009E2ADD"/>
    <w:rsid w:val="009E2DB8"/>
    <w:rsid w:val="009E2F37"/>
    <w:rsid w:val="009E36EA"/>
    <w:rsid w:val="009E4F61"/>
    <w:rsid w:val="009E6082"/>
    <w:rsid w:val="009E6794"/>
    <w:rsid w:val="009E70D5"/>
    <w:rsid w:val="009E7934"/>
    <w:rsid w:val="009F07BD"/>
    <w:rsid w:val="009F1AD6"/>
    <w:rsid w:val="009F1F5C"/>
    <w:rsid w:val="009F3B7F"/>
    <w:rsid w:val="009F4836"/>
    <w:rsid w:val="009F59B5"/>
    <w:rsid w:val="00A01256"/>
    <w:rsid w:val="00A01C70"/>
    <w:rsid w:val="00A0271E"/>
    <w:rsid w:val="00A02DF2"/>
    <w:rsid w:val="00A036D6"/>
    <w:rsid w:val="00A0438E"/>
    <w:rsid w:val="00A04782"/>
    <w:rsid w:val="00A04943"/>
    <w:rsid w:val="00A04A03"/>
    <w:rsid w:val="00A05296"/>
    <w:rsid w:val="00A06777"/>
    <w:rsid w:val="00A10826"/>
    <w:rsid w:val="00A11435"/>
    <w:rsid w:val="00A12576"/>
    <w:rsid w:val="00A1277C"/>
    <w:rsid w:val="00A12E45"/>
    <w:rsid w:val="00A13B9E"/>
    <w:rsid w:val="00A13CD5"/>
    <w:rsid w:val="00A14BD6"/>
    <w:rsid w:val="00A155B9"/>
    <w:rsid w:val="00A15745"/>
    <w:rsid w:val="00A15940"/>
    <w:rsid w:val="00A16CEB"/>
    <w:rsid w:val="00A20EC6"/>
    <w:rsid w:val="00A226EB"/>
    <w:rsid w:val="00A2288B"/>
    <w:rsid w:val="00A238D8"/>
    <w:rsid w:val="00A24956"/>
    <w:rsid w:val="00A24CBF"/>
    <w:rsid w:val="00A25872"/>
    <w:rsid w:val="00A26FEC"/>
    <w:rsid w:val="00A2730B"/>
    <w:rsid w:val="00A275FA"/>
    <w:rsid w:val="00A302AE"/>
    <w:rsid w:val="00A302D7"/>
    <w:rsid w:val="00A3059D"/>
    <w:rsid w:val="00A30627"/>
    <w:rsid w:val="00A30635"/>
    <w:rsid w:val="00A30E97"/>
    <w:rsid w:val="00A31750"/>
    <w:rsid w:val="00A31781"/>
    <w:rsid w:val="00A33720"/>
    <w:rsid w:val="00A343A6"/>
    <w:rsid w:val="00A3449F"/>
    <w:rsid w:val="00A345DB"/>
    <w:rsid w:val="00A35E03"/>
    <w:rsid w:val="00A36355"/>
    <w:rsid w:val="00A36E90"/>
    <w:rsid w:val="00A36F2A"/>
    <w:rsid w:val="00A36F7B"/>
    <w:rsid w:val="00A37499"/>
    <w:rsid w:val="00A404C7"/>
    <w:rsid w:val="00A41125"/>
    <w:rsid w:val="00A41D2A"/>
    <w:rsid w:val="00A42D69"/>
    <w:rsid w:val="00A42EAF"/>
    <w:rsid w:val="00A4331E"/>
    <w:rsid w:val="00A43693"/>
    <w:rsid w:val="00A43B5D"/>
    <w:rsid w:val="00A44612"/>
    <w:rsid w:val="00A45B5E"/>
    <w:rsid w:val="00A45E2E"/>
    <w:rsid w:val="00A46C43"/>
    <w:rsid w:val="00A47506"/>
    <w:rsid w:val="00A47929"/>
    <w:rsid w:val="00A47E20"/>
    <w:rsid w:val="00A50EEE"/>
    <w:rsid w:val="00A5159D"/>
    <w:rsid w:val="00A51D4C"/>
    <w:rsid w:val="00A52904"/>
    <w:rsid w:val="00A52CB1"/>
    <w:rsid w:val="00A5337A"/>
    <w:rsid w:val="00A535E2"/>
    <w:rsid w:val="00A55440"/>
    <w:rsid w:val="00A55F80"/>
    <w:rsid w:val="00A563BA"/>
    <w:rsid w:val="00A56D92"/>
    <w:rsid w:val="00A577DF"/>
    <w:rsid w:val="00A57BB3"/>
    <w:rsid w:val="00A61783"/>
    <w:rsid w:val="00A62404"/>
    <w:rsid w:val="00A62CF9"/>
    <w:rsid w:val="00A63740"/>
    <w:rsid w:val="00A654C8"/>
    <w:rsid w:val="00A6597B"/>
    <w:rsid w:val="00A65B0D"/>
    <w:rsid w:val="00A66B36"/>
    <w:rsid w:val="00A70279"/>
    <w:rsid w:val="00A70D49"/>
    <w:rsid w:val="00A723AC"/>
    <w:rsid w:val="00A7295E"/>
    <w:rsid w:val="00A73FCB"/>
    <w:rsid w:val="00A741E5"/>
    <w:rsid w:val="00A7618B"/>
    <w:rsid w:val="00A7674D"/>
    <w:rsid w:val="00A7709A"/>
    <w:rsid w:val="00A80503"/>
    <w:rsid w:val="00A8081E"/>
    <w:rsid w:val="00A80954"/>
    <w:rsid w:val="00A81298"/>
    <w:rsid w:val="00A81371"/>
    <w:rsid w:val="00A81E82"/>
    <w:rsid w:val="00A82145"/>
    <w:rsid w:val="00A8226C"/>
    <w:rsid w:val="00A83DEF"/>
    <w:rsid w:val="00A85439"/>
    <w:rsid w:val="00A86A22"/>
    <w:rsid w:val="00A878DF"/>
    <w:rsid w:val="00A90142"/>
    <w:rsid w:val="00A906C3"/>
    <w:rsid w:val="00A90B2E"/>
    <w:rsid w:val="00A9127F"/>
    <w:rsid w:val="00A914A9"/>
    <w:rsid w:val="00A91DE6"/>
    <w:rsid w:val="00A91E3C"/>
    <w:rsid w:val="00A922F9"/>
    <w:rsid w:val="00A92B81"/>
    <w:rsid w:val="00A94A71"/>
    <w:rsid w:val="00A95424"/>
    <w:rsid w:val="00A95870"/>
    <w:rsid w:val="00A959C9"/>
    <w:rsid w:val="00A95A5E"/>
    <w:rsid w:val="00A9740A"/>
    <w:rsid w:val="00A97E00"/>
    <w:rsid w:val="00AA040A"/>
    <w:rsid w:val="00AA05A7"/>
    <w:rsid w:val="00AA07CB"/>
    <w:rsid w:val="00AA1695"/>
    <w:rsid w:val="00AA1995"/>
    <w:rsid w:val="00AA2441"/>
    <w:rsid w:val="00AA45B6"/>
    <w:rsid w:val="00AA4F92"/>
    <w:rsid w:val="00AA545A"/>
    <w:rsid w:val="00AA59D2"/>
    <w:rsid w:val="00AB0F5F"/>
    <w:rsid w:val="00AB1884"/>
    <w:rsid w:val="00AB1E20"/>
    <w:rsid w:val="00AB2055"/>
    <w:rsid w:val="00AB21EF"/>
    <w:rsid w:val="00AB38A8"/>
    <w:rsid w:val="00AB3EC0"/>
    <w:rsid w:val="00AB46D0"/>
    <w:rsid w:val="00AB4C69"/>
    <w:rsid w:val="00AC0A59"/>
    <w:rsid w:val="00AC3834"/>
    <w:rsid w:val="00AC3C4D"/>
    <w:rsid w:val="00AC3FD3"/>
    <w:rsid w:val="00AC5893"/>
    <w:rsid w:val="00AC627D"/>
    <w:rsid w:val="00AC6AC5"/>
    <w:rsid w:val="00AC6B30"/>
    <w:rsid w:val="00AD059C"/>
    <w:rsid w:val="00AD08B8"/>
    <w:rsid w:val="00AD0F05"/>
    <w:rsid w:val="00AD2AAB"/>
    <w:rsid w:val="00AD5A52"/>
    <w:rsid w:val="00AE068B"/>
    <w:rsid w:val="00AE1D87"/>
    <w:rsid w:val="00AE2DDE"/>
    <w:rsid w:val="00AE3150"/>
    <w:rsid w:val="00AE34A7"/>
    <w:rsid w:val="00AE4A28"/>
    <w:rsid w:val="00AE5158"/>
    <w:rsid w:val="00AE52CF"/>
    <w:rsid w:val="00AE6724"/>
    <w:rsid w:val="00AE7198"/>
    <w:rsid w:val="00AF0496"/>
    <w:rsid w:val="00AF2413"/>
    <w:rsid w:val="00AF24B0"/>
    <w:rsid w:val="00AF24E8"/>
    <w:rsid w:val="00AF25B7"/>
    <w:rsid w:val="00AF2644"/>
    <w:rsid w:val="00AF47EA"/>
    <w:rsid w:val="00AF4AAC"/>
    <w:rsid w:val="00AF51ED"/>
    <w:rsid w:val="00AF539D"/>
    <w:rsid w:val="00AF5AE5"/>
    <w:rsid w:val="00AF5F14"/>
    <w:rsid w:val="00AF6369"/>
    <w:rsid w:val="00AF675E"/>
    <w:rsid w:val="00AF721C"/>
    <w:rsid w:val="00AF7D9C"/>
    <w:rsid w:val="00AF7E29"/>
    <w:rsid w:val="00B0011D"/>
    <w:rsid w:val="00B010E3"/>
    <w:rsid w:val="00B011E8"/>
    <w:rsid w:val="00B02175"/>
    <w:rsid w:val="00B0225C"/>
    <w:rsid w:val="00B038B8"/>
    <w:rsid w:val="00B04930"/>
    <w:rsid w:val="00B06057"/>
    <w:rsid w:val="00B07384"/>
    <w:rsid w:val="00B1127D"/>
    <w:rsid w:val="00B1157F"/>
    <w:rsid w:val="00B12091"/>
    <w:rsid w:val="00B1278F"/>
    <w:rsid w:val="00B13766"/>
    <w:rsid w:val="00B143F4"/>
    <w:rsid w:val="00B15A31"/>
    <w:rsid w:val="00B164DF"/>
    <w:rsid w:val="00B166F4"/>
    <w:rsid w:val="00B17604"/>
    <w:rsid w:val="00B20685"/>
    <w:rsid w:val="00B20D58"/>
    <w:rsid w:val="00B22CFC"/>
    <w:rsid w:val="00B23196"/>
    <w:rsid w:val="00B235ED"/>
    <w:rsid w:val="00B23C08"/>
    <w:rsid w:val="00B23DBE"/>
    <w:rsid w:val="00B24851"/>
    <w:rsid w:val="00B24CE2"/>
    <w:rsid w:val="00B25A02"/>
    <w:rsid w:val="00B276B0"/>
    <w:rsid w:val="00B276D6"/>
    <w:rsid w:val="00B27E84"/>
    <w:rsid w:val="00B3010E"/>
    <w:rsid w:val="00B304F5"/>
    <w:rsid w:val="00B317A0"/>
    <w:rsid w:val="00B3198A"/>
    <w:rsid w:val="00B31B01"/>
    <w:rsid w:val="00B32CE4"/>
    <w:rsid w:val="00B345BA"/>
    <w:rsid w:val="00B3487A"/>
    <w:rsid w:val="00B3743C"/>
    <w:rsid w:val="00B37770"/>
    <w:rsid w:val="00B37A7A"/>
    <w:rsid w:val="00B40452"/>
    <w:rsid w:val="00B44CAE"/>
    <w:rsid w:val="00B46116"/>
    <w:rsid w:val="00B50774"/>
    <w:rsid w:val="00B5093C"/>
    <w:rsid w:val="00B50B79"/>
    <w:rsid w:val="00B55FF7"/>
    <w:rsid w:val="00B56298"/>
    <w:rsid w:val="00B57B08"/>
    <w:rsid w:val="00B57D8B"/>
    <w:rsid w:val="00B57E4D"/>
    <w:rsid w:val="00B61323"/>
    <w:rsid w:val="00B6181B"/>
    <w:rsid w:val="00B61834"/>
    <w:rsid w:val="00B61BE6"/>
    <w:rsid w:val="00B6227F"/>
    <w:rsid w:val="00B627D0"/>
    <w:rsid w:val="00B6360C"/>
    <w:rsid w:val="00B63B71"/>
    <w:rsid w:val="00B63EA5"/>
    <w:rsid w:val="00B64038"/>
    <w:rsid w:val="00B648BA"/>
    <w:rsid w:val="00B64920"/>
    <w:rsid w:val="00B64E09"/>
    <w:rsid w:val="00B655B1"/>
    <w:rsid w:val="00B65A91"/>
    <w:rsid w:val="00B65B26"/>
    <w:rsid w:val="00B65BD1"/>
    <w:rsid w:val="00B65D18"/>
    <w:rsid w:val="00B70F39"/>
    <w:rsid w:val="00B70FAD"/>
    <w:rsid w:val="00B7108E"/>
    <w:rsid w:val="00B71467"/>
    <w:rsid w:val="00B71E11"/>
    <w:rsid w:val="00B723C4"/>
    <w:rsid w:val="00B72787"/>
    <w:rsid w:val="00B72CA9"/>
    <w:rsid w:val="00B73FCE"/>
    <w:rsid w:val="00B74BD4"/>
    <w:rsid w:val="00B76674"/>
    <w:rsid w:val="00B76DD5"/>
    <w:rsid w:val="00B77C53"/>
    <w:rsid w:val="00B77E00"/>
    <w:rsid w:val="00B8045D"/>
    <w:rsid w:val="00B8090B"/>
    <w:rsid w:val="00B81A69"/>
    <w:rsid w:val="00B8204E"/>
    <w:rsid w:val="00B82F74"/>
    <w:rsid w:val="00B83D72"/>
    <w:rsid w:val="00B84952"/>
    <w:rsid w:val="00B84A2E"/>
    <w:rsid w:val="00B86FDE"/>
    <w:rsid w:val="00B872AC"/>
    <w:rsid w:val="00B87D7D"/>
    <w:rsid w:val="00B91009"/>
    <w:rsid w:val="00B9129A"/>
    <w:rsid w:val="00B92115"/>
    <w:rsid w:val="00B92C59"/>
    <w:rsid w:val="00B9388D"/>
    <w:rsid w:val="00B93B99"/>
    <w:rsid w:val="00B947BD"/>
    <w:rsid w:val="00B95D6C"/>
    <w:rsid w:val="00B965C2"/>
    <w:rsid w:val="00BA034B"/>
    <w:rsid w:val="00BA2688"/>
    <w:rsid w:val="00BA2763"/>
    <w:rsid w:val="00BA2C13"/>
    <w:rsid w:val="00BA51FB"/>
    <w:rsid w:val="00BA5983"/>
    <w:rsid w:val="00BA5D5B"/>
    <w:rsid w:val="00BA79EE"/>
    <w:rsid w:val="00BB0A8E"/>
    <w:rsid w:val="00BB2251"/>
    <w:rsid w:val="00BB2711"/>
    <w:rsid w:val="00BB3305"/>
    <w:rsid w:val="00BB37C4"/>
    <w:rsid w:val="00BB3F4B"/>
    <w:rsid w:val="00BB4817"/>
    <w:rsid w:val="00BB4B44"/>
    <w:rsid w:val="00BB5D48"/>
    <w:rsid w:val="00BB6F9E"/>
    <w:rsid w:val="00BC0F25"/>
    <w:rsid w:val="00BC135B"/>
    <w:rsid w:val="00BC2B15"/>
    <w:rsid w:val="00BC3509"/>
    <w:rsid w:val="00BC468E"/>
    <w:rsid w:val="00BC46C2"/>
    <w:rsid w:val="00BC4805"/>
    <w:rsid w:val="00BC52D6"/>
    <w:rsid w:val="00BC567C"/>
    <w:rsid w:val="00BC5A2D"/>
    <w:rsid w:val="00BC70ED"/>
    <w:rsid w:val="00BD00AD"/>
    <w:rsid w:val="00BD06BC"/>
    <w:rsid w:val="00BD0B03"/>
    <w:rsid w:val="00BD0ECB"/>
    <w:rsid w:val="00BD1309"/>
    <w:rsid w:val="00BD140F"/>
    <w:rsid w:val="00BD16B2"/>
    <w:rsid w:val="00BD1BA2"/>
    <w:rsid w:val="00BD2909"/>
    <w:rsid w:val="00BD32E9"/>
    <w:rsid w:val="00BD3AA2"/>
    <w:rsid w:val="00BD46BE"/>
    <w:rsid w:val="00BD4AAF"/>
    <w:rsid w:val="00BD511A"/>
    <w:rsid w:val="00BD75EB"/>
    <w:rsid w:val="00BD79F3"/>
    <w:rsid w:val="00BE0A8D"/>
    <w:rsid w:val="00BE0F20"/>
    <w:rsid w:val="00BE1138"/>
    <w:rsid w:val="00BE1693"/>
    <w:rsid w:val="00BE19BE"/>
    <w:rsid w:val="00BE30C9"/>
    <w:rsid w:val="00BE376A"/>
    <w:rsid w:val="00BE416E"/>
    <w:rsid w:val="00BE4181"/>
    <w:rsid w:val="00BE6084"/>
    <w:rsid w:val="00BE636E"/>
    <w:rsid w:val="00BE76EF"/>
    <w:rsid w:val="00BF015C"/>
    <w:rsid w:val="00BF046D"/>
    <w:rsid w:val="00BF127D"/>
    <w:rsid w:val="00BF13A1"/>
    <w:rsid w:val="00BF13EF"/>
    <w:rsid w:val="00BF22B0"/>
    <w:rsid w:val="00BF22F1"/>
    <w:rsid w:val="00BF2CFD"/>
    <w:rsid w:val="00BF31C7"/>
    <w:rsid w:val="00BF4D83"/>
    <w:rsid w:val="00BF51E0"/>
    <w:rsid w:val="00BF58FB"/>
    <w:rsid w:val="00BF5DC2"/>
    <w:rsid w:val="00C00E0B"/>
    <w:rsid w:val="00C01671"/>
    <w:rsid w:val="00C02728"/>
    <w:rsid w:val="00C02AC2"/>
    <w:rsid w:val="00C03288"/>
    <w:rsid w:val="00C0510A"/>
    <w:rsid w:val="00C05CC0"/>
    <w:rsid w:val="00C05EF4"/>
    <w:rsid w:val="00C06B66"/>
    <w:rsid w:val="00C10208"/>
    <w:rsid w:val="00C1363E"/>
    <w:rsid w:val="00C140C2"/>
    <w:rsid w:val="00C14219"/>
    <w:rsid w:val="00C145E1"/>
    <w:rsid w:val="00C14DB4"/>
    <w:rsid w:val="00C15529"/>
    <w:rsid w:val="00C156FD"/>
    <w:rsid w:val="00C17654"/>
    <w:rsid w:val="00C201E3"/>
    <w:rsid w:val="00C20599"/>
    <w:rsid w:val="00C207DF"/>
    <w:rsid w:val="00C2129D"/>
    <w:rsid w:val="00C218DA"/>
    <w:rsid w:val="00C223A9"/>
    <w:rsid w:val="00C22CAF"/>
    <w:rsid w:val="00C22CE9"/>
    <w:rsid w:val="00C22D0C"/>
    <w:rsid w:val="00C22DAF"/>
    <w:rsid w:val="00C22E82"/>
    <w:rsid w:val="00C236B7"/>
    <w:rsid w:val="00C23A13"/>
    <w:rsid w:val="00C242BF"/>
    <w:rsid w:val="00C243DF"/>
    <w:rsid w:val="00C25A1B"/>
    <w:rsid w:val="00C26B8E"/>
    <w:rsid w:val="00C26D8A"/>
    <w:rsid w:val="00C31802"/>
    <w:rsid w:val="00C3301D"/>
    <w:rsid w:val="00C34A83"/>
    <w:rsid w:val="00C36AAC"/>
    <w:rsid w:val="00C37E07"/>
    <w:rsid w:val="00C404FC"/>
    <w:rsid w:val="00C41B14"/>
    <w:rsid w:val="00C41C77"/>
    <w:rsid w:val="00C4203F"/>
    <w:rsid w:val="00C4227B"/>
    <w:rsid w:val="00C44508"/>
    <w:rsid w:val="00C44822"/>
    <w:rsid w:val="00C44A7A"/>
    <w:rsid w:val="00C44C3E"/>
    <w:rsid w:val="00C45794"/>
    <w:rsid w:val="00C46008"/>
    <w:rsid w:val="00C46A34"/>
    <w:rsid w:val="00C46E47"/>
    <w:rsid w:val="00C50BC6"/>
    <w:rsid w:val="00C52285"/>
    <w:rsid w:val="00C53C8F"/>
    <w:rsid w:val="00C54346"/>
    <w:rsid w:val="00C57B11"/>
    <w:rsid w:val="00C60394"/>
    <w:rsid w:val="00C6093D"/>
    <w:rsid w:val="00C60EB3"/>
    <w:rsid w:val="00C61003"/>
    <w:rsid w:val="00C61D93"/>
    <w:rsid w:val="00C61EBF"/>
    <w:rsid w:val="00C63E3B"/>
    <w:rsid w:val="00C63FF9"/>
    <w:rsid w:val="00C64541"/>
    <w:rsid w:val="00C64DBB"/>
    <w:rsid w:val="00C661CA"/>
    <w:rsid w:val="00C6656F"/>
    <w:rsid w:val="00C66BA9"/>
    <w:rsid w:val="00C7018B"/>
    <w:rsid w:val="00C70CA5"/>
    <w:rsid w:val="00C71BEA"/>
    <w:rsid w:val="00C731DC"/>
    <w:rsid w:val="00C74785"/>
    <w:rsid w:val="00C747AA"/>
    <w:rsid w:val="00C763F7"/>
    <w:rsid w:val="00C76CFA"/>
    <w:rsid w:val="00C76D39"/>
    <w:rsid w:val="00C77692"/>
    <w:rsid w:val="00C80CB2"/>
    <w:rsid w:val="00C82295"/>
    <w:rsid w:val="00C82E99"/>
    <w:rsid w:val="00C82F3D"/>
    <w:rsid w:val="00C833B9"/>
    <w:rsid w:val="00C8362C"/>
    <w:rsid w:val="00C83B77"/>
    <w:rsid w:val="00C83EF4"/>
    <w:rsid w:val="00C840DC"/>
    <w:rsid w:val="00C842B8"/>
    <w:rsid w:val="00C845ED"/>
    <w:rsid w:val="00C850B9"/>
    <w:rsid w:val="00C87052"/>
    <w:rsid w:val="00C8739C"/>
    <w:rsid w:val="00C90B47"/>
    <w:rsid w:val="00C91ACC"/>
    <w:rsid w:val="00C920E0"/>
    <w:rsid w:val="00C92131"/>
    <w:rsid w:val="00C921ED"/>
    <w:rsid w:val="00C92512"/>
    <w:rsid w:val="00C929D1"/>
    <w:rsid w:val="00C92C25"/>
    <w:rsid w:val="00C9362E"/>
    <w:rsid w:val="00C93767"/>
    <w:rsid w:val="00C93A2E"/>
    <w:rsid w:val="00C93DD9"/>
    <w:rsid w:val="00C93EED"/>
    <w:rsid w:val="00C9444D"/>
    <w:rsid w:val="00C9527E"/>
    <w:rsid w:val="00C95B73"/>
    <w:rsid w:val="00C95F30"/>
    <w:rsid w:val="00C97391"/>
    <w:rsid w:val="00CA1536"/>
    <w:rsid w:val="00CA20B7"/>
    <w:rsid w:val="00CA3BAC"/>
    <w:rsid w:val="00CA3C77"/>
    <w:rsid w:val="00CA41B4"/>
    <w:rsid w:val="00CA5185"/>
    <w:rsid w:val="00CA51D4"/>
    <w:rsid w:val="00CA642F"/>
    <w:rsid w:val="00CA6EA6"/>
    <w:rsid w:val="00CA6EFF"/>
    <w:rsid w:val="00CA7391"/>
    <w:rsid w:val="00CA73B6"/>
    <w:rsid w:val="00CA7D2C"/>
    <w:rsid w:val="00CA7F29"/>
    <w:rsid w:val="00CB0286"/>
    <w:rsid w:val="00CB09C6"/>
    <w:rsid w:val="00CB3F60"/>
    <w:rsid w:val="00CB60EC"/>
    <w:rsid w:val="00CB736E"/>
    <w:rsid w:val="00CC01CE"/>
    <w:rsid w:val="00CC0FDB"/>
    <w:rsid w:val="00CC1C33"/>
    <w:rsid w:val="00CC2962"/>
    <w:rsid w:val="00CC44DA"/>
    <w:rsid w:val="00CC490A"/>
    <w:rsid w:val="00CC7087"/>
    <w:rsid w:val="00CC7A9C"/>
    <w:rsid w:val="00CD1EA2"/>
    <w:rsid w:val="00CD31AB"/>
    <w:rsid w:val="00CD3617"/>
    <w:rsid w:val="00CD38A9"/>
    <w:rsid w:val="00CD3B3E"/>
    <w:rsid w:val="00CD3BE6"/>
    <w:rsid w:val="00CD3CE1"/>
    <w:rsid w:val="00CD3E03"/>
    <w:rsid w:val="00CD4B2B"/>
    <w:rsid w:val="00CD4DFA"/>
    <w:rsid w:val="00CE1391"/>
    <w:rsid w:val="00CE1E60"/>
    <w:rsid w:val="00CE1F14"/>
    <w:rsid w:val="00CE21DB"/>
    <w:rsid w:val="00CE2738"/>
    <w:rsid w:val="00CE3118"/>
    <w:rsid w:val="00CE391D"/>
    <w:rsid w:val="00CE40E6"/>
    <w:rsid w:val="00CE466C"/>
    <w:rsid w:val="00CE5077"/>
    <w:rsid w:val="00CE5393"/>
    <w:rsid w:val="00CE5C08"/>
    <w:rsid w:val="00CE5DA2"/>
    <w:rsid w:val="00CE6E5C"/>
    <w:rsid w:val="00CE732E"/>
    <w:rsid w:val="00CE751D"/>
    <w:rsid w:val="00CF0CAB"/>
    <w:rsid w:val="00CF0D27"/>
    <w:rsid w:val="00CF0E21"/>
    <w:rsid w:val="00CF16D0"/>
    <w:rsid w:val="00CF1999"/>
    <w:rsid w:val="00CF1A63"/>
    <w:rsid w:val="00CF2562"/>
    <w:rsid w:val="00CF2818"/>
    <w:rsid w:val="00CF38FA"/>
    <w:rsid w:val="00CF4602"/>
    <w:rsid w:val="00CF5239"/>
    <w:rsid w:val="00CF540B"/>
    <w:rsid w:val="00CF554D"/>
    <w:rsid w:val="00CF55FD"/>
    <w:rsid w:val="00CF6A90"/>
    <w:rsid w:val="00CF7E2B"/>
    <w:rsid w:val="00D01CE3"/>
    <w:rsid w:val="00D02274"/>
    <w:rsid w:val="00D02A33"/>
    <w:rsid w:val="00D033D3"/>
    <w:rsid w:val="00D03853"/>
    <w:rsid w:val="00D03EC8"/>
    <w:rsid w:val="00D06D01"/>
    <w:rsid w:val="00D073F1"/>
    <w:rsid w:val="00D07A64"/>
    <w:rsid w:val="00D102D9"/>
    <w:rsid w:val="00D10470"/>
    <w:rsid w:val="00D118BE"/>
    <w:rsid w:val="00D11E5C"/>
    <w:rsid w:val="00D125F6"/>
    <w:rsid w:val="00D1516E"/>
    <w:rsid w:val="00D15820"/>
    <w:rsid w:val="00D15A18"/>
    <w:rsid w:val="00D15BF3"/>
    <w:rsid w:val="00D16AFA"/>
    <w:rsid w:val="00D176F1"/>
    <w:rsid w:val="00D20C0E"/>
    <w:rsid w:val="00D20CD5"/>
    <w:rsid w:val="00D2121F"/>
    <w:rsid w:val="00D214DA"/>
    <w:rsid w:val="00D219D0"/>
    <w:rsid w:val="00D22555"/>
    <w:rsid w:val="00D22564"/>
    <w:rsid w:val="00D2375E"/>
    <w:rsid w:val="00D23F67"/>
    <w:rsid w:val="00D2442D"/>
    <w:rsid w:val="00D24D31"/>
    <w:rsid w:val="00D24D69"/>
    <w:rsid w:val="00D27520"/>
    <w:rsid w:val="00D2791B"/>
    <w:rsid w:val="00D3056D"/>
    <w:rsid w:val="00D31DA4"/>
    <w:rsid w:val="00D32017"/>
    <w:rsid w:val="00D324F0"/>
    <w:rsid w:val="00D33080"/>
    <w:rsid w:val="00D34868"/>
    <w:rsid w:val="00D35369"/>
    <w:rsid w:val="00D35399"/>
    <w:rsid w:val="00D35648"/>
    <w:rsid w:val="00D35E0C"/>
    <w:rsid w:val="00D3666D"/>
    <w:rsid w:val="00D368C4"/>
    <w:rsid w:val="00D4166F"/>
    <w:rsid w:val="00D41842"/>
    <w:rsid w:val="00D41E3E"/>
    <w:rsid w:val="00D430D5"/>
    <w:rsid w:val="00D43AE1"/>
    <w:rsid w:val="00D43CC8"/>
    <w:rsid w:val="00D44AFE"/>
    <w:rsid w:val="00D44BC8"/>
    <w:rsid w:val="00D454FB"/>
    <w:rsid w:val="00D45C7F"/>
    <w:rsid w:val="00D45F3C"/>
    <w:rsid w:val="00D472C7"/>
    <w:rsid w:val="00D473E3"/>
    <w:rsid w:val="00D47854"/>
    <w:rsid w:val="00D51EF5"/>
    <w:rsid w:val="00D53319"/>
    <w:rsid w:val="00D54298"/>
    <w:rsid w:val="00D55120"/>
    <w:rsid w:val="00D5584D"/>
    <w:rsid w:val="00D55851"/>
    <w:rsid w:val="00D562D3"/>
    <w:rsid w:val="00D565B5"/>
    <w:rsid w:val="00D57A50"/>
    <w:rsid w:val="00D60A0F"/>
    <w:rsid w:val="00D614FB"/>
    <w:rsid w:val="00D617CF"/>
    <w:rsid w:val="00D637B9"/>
    <w:rsid w:val="00D64028"/>
    <w:rsid w:val="00D64704"/>
    <w:rsid w:val="00D656A0"/>
    <w:rsid w:val="00D65AF9"/>
    <w:rsid w:val="00D701E2"/>
    <w:rsid w:val="00D7159B"/>
    <w:rsid w:val="00D71BB1"/>
    <w:rsid w:val="00D727D4"/>
    <w:rsid w:val="00D73683"/>
    <w:rsid w:val="00D73B48"/>
    <w:rsid w:val="00D7472C"/>
    <w:rsid w:val="00D750DC"/>
    <w:rsid w:val="00D77AE5"/>
    <w:rsid w:val="00D802A7"/>
    <w:rsid w:val="00D8130E"/>
    <w:rsid w:val="00D81A44"/>
    <w:rsid w:val="00D8272B"/>
    <w:rsid w:val="00D82834"/>
    <w:rsid w:val="00D83CC3"/>
    <w:rsid w:val="00D84528"/>
    <w:rsid w:val="00D84720"/>
    <w:rsid w:val="00D84C90"/>
    <w:rsid w:val="00D85D86"/>
    <w:rsid w:val="00D85DAB"/>
    <w:rsid w:val="00D86381"/>
    <w:rsid w:val="00D86A67"/>
    <w:rsid w:val="00D870AC"/>
    <w:rsid w:val="00D8712F"/>
    <w:rsid w:val="00D87265"/>
    <w:rsid w:val="00D90499"/>
    <w:rsid w:val="00D9089A"/>
    <w:rsid w:val="00D913D9"/>
    <w:rsid w:val="00D9189A"/>
    <w:rsid w:val="00D92130"/>
    <w:rsid w:val="00D939A7"/>
    <w:rsid w:val="00D9449A"/>
    <w:rsid w:val="00D94631"/>
    <w:rsid w:val="00D94D89"/>
    <w:rsid w:val="00D95190"/>
    <w:rsid w:val="00D95287"/>
    <w:rsid w:val="00D958B0"/>
    <w:rsid w:val="00D95E32"/>
    <w:rsid w:val="00D96569"/>
    <w:rsid w:val="00D966F1"/>
    <w:rsid w:val="00D97CA2"/>
    <w:rsid w:val="00D97D64"/>
    <w:rsid w:val="00DA0E2F"/>
    <w:rsid w:val="00DA134E"/>
    <w:rsid w:val="00DA3EA9"/>
    <w:rsid w:val="00DA49D3"/>
    <w:rsid w:val="00DA4CEA"/>
    <w:rsid w:val="00DA5677"/>
    <w:rsid w:val="00DA60DB"/>
    <w:rsid w:val="00DA6268"/>
    <w:rsid w:val="00DB0D2B"/>
    <w:rsid w:val="00DB11BE"/>
    <w:rsid w:val="00DB1792"/>
    <w:rsid w:val="00DB1E0D"/>
    <w:rsid w:val="00DB283F"/>
    <w:rsid w:val="00DB2A8A"/>
    <w:rsid w:val="00DB2F21"/>
    <w:rsid w:val="00DB3837"/>
    <w:rsid w:val="00DB51B4"/>
    <w:rsid w:val="00DB5844"/>
    <w:rsid w:val="00DB5B46"/>
    <w:rsid w:val="00DB6F3D"/>
    <w:rsid w:val="00DB7186"/>
    <w:rsid w:val="00DC0B04"/>
    <w:rsid w:val="00DC0D8C"/>
    <w:rsid w:val="00DC23E2"/>
    <w:rsid w:val="00DC26CD"/>
    <w:rsid w:val="00DC4024"/>
    <w:rsid w:val="00DC4356"/>
    <w:rsid w:val="00DC65F7"/>
    <w:rsid w:val="00DC72DB"/>
    <w:rsid w:val="00DD070E"/>
    <w:rsid w:val="00DD2022"/>
    <w:rsid w:val="00DD2251"/>
    <w:rsid w:val="00DD31E7"/>
    <w:rsid w:val="00DD490A"/>
    <w:rsid w:val="00DD5CD0"/>
    <w:rsid w:val="00DD630F"/>
    <w:rsid w:val="00DD68E2"/>
    <w:rsid w:val="00DD6BB9"/>
    <w:rsid w:val="00DE096F"/>
    <w:rsid w:val="00DE0AA2"/>
    <w:rsid w:val="00DE1A4A"/>
    <w:rsid w:val="00DE2997"/>
    <w:rsid w:val="00DE2EF5"/>
    <w:rsid w:val="00DE2F04"/>
    <w:rsid w:val="00DE4171"/>
    <w:rsid w:val="00DE540E"/>
    <w:rsid w:val="00DE55D6"/>
    <w:rsid w:val="00DE5610"/>
    <w:rsid w:val="00DE58E3"/>
    <w:rsid w:val="00DE604E"/>
    <w:rsid w:val="00DE6F8C"/>
    <w:rsid w:val="00DE6FEB"/>
    <w:rsid w:val="00DE7BD2"/>
    <w:rsid w:val="00DF0D33"/>
    <w:rsid w:val="00DF2564"/>
    <w:rsid w:val="00DF2975"/>
    <w:rsid w:val="00DF35DD"/>
    <w:rsid w:val="00DF36CF"/>
    <w:rsid w:val="00DF3767"/>
    <w:rsid w:val="00DF3A70"/>
    <w:rsid w:val="00DF3CBD"/>
    <w:rsid w:val="00DF4722"/>
    <w:rsid w:val="00DF4B35"/>
    <w:rsid w:val="00DF5C27"/>
    <w:rsid w:val="00DF5D03"/>
    <w:rsid w:val="00DF6F8A"/>
    <w:rsid w:val="00DF70A9"/>
    <w:rsid w:val="00DF70D5"/>
    <w:rsid w:val="00E00159"/>
    <w:rsid w:val="00E003AA"/>
    <w:rsid w:val="00E0062A"/>
    <w:rsid w:val="00E00D51"/>
    <w:rsid w:val="00E0130C"/>
    <w:rsid w:val="00E01682"/>
    <w:rsid w:val="00E01D61"/>
    <w:rsid w:val="00E03555"/>
    <w:rsid w:val="00E0389B"/>
    <w:rsid w:val="00E03DCF"/>
    <w:rsid w:val="00E054E4"/>
    <w:rsid w:val="00E07A24"/>
    <w:rsid w:val="00E110CE"/>
    <w:rsid w:val="00E1183E"/>
    <w:rsid w:val="00E12E92"/>
    <w:rsid w:val="00E1396C"/>
    <w:rsid w:val="00E13A76"/>
    <w:rsid w:val="00E1410D"/>
    <w:rsid w:val="00E14AEA"/>
    <w:rsid w:val="00E1515A"/>
    <w:rsid w:val="00E15319"/>
    <w:rsid w:val="00E16EF9"/>
    <w:rsid w:val="00E17491"/>
    <w:rsid w:val="00E17576"/>
    <w:rsid w:val="00E17B3D"/>
    <w:rsid w:val="00E215D4"/>
    <w:rsid w:val="00E2315B"/>
    <w:rsid w:val="00E23AF1"/>
    <w:rsid w:val="00E25076"/>
    <w:rsid w:val="00E262C7"/>
    <w:rsid w:val="00E27E21"/>
    <w:rsid w:val="00E30019"/>
    <w:rsid w:val="00E3039B"/>
    <w:rsid w:val="00E30922"/>
    <w:rsid w:val="00E3223A"/>
    <w:rsid w:val="00E32AF8"/>
    <w:rsid w:val="00E334CB"/>
    <w:rsid w:val="00E33B44"/>
    <w:rsid w:val="00E33C5D"/>
    <w:rsid w:val="00E34B8E"/>
    <w:rsid w:val="00E3566E"/>
    <w:rsid w:val="00E3599D"/>
    <w:rsid w:val="00E377B6"/>
    <w:rsid w:val="00E4054A"/>
    <w:rsid w:val="00E41A26"/>
    <w:rsid w:val="00E42057"/>
    <w:rsid w:val="00E42185"/>
    <w:rsid w:val="00E425DB"/>
    <w:rsid w:val="00E43BA4"/>
    <w:rsid w:val="00E455FB"/>
    <w:rsid w:val="00E4561A"/>
    <w:rsid w:val="00E464F8"/>
    <w:rsid w:val="00E465BB"/>
    <w:rsid w:val="00E50A8B"/>
    <w:rsid w:val="00E512AA"/>
    <w:rsid w:val="00E5173C"/>
    <w:rsid w:val="00E5195F"/>
    <w:rsid w:val="00E51B12"/>
    <w:rsid w:val="00E527E9"/>
    <w:rsid w:val="00E55241"/>
    <w:rsid w:val="00E55779"/>
    <w:rsid w:val="00E5667B"/>
    <w:rsid w:val="00E56757"/>
    <w:rsid w:val="00E56A7B"/>
    <w:rsid w:val="00E57471"/>
    <w:rsid w:val="00E606F8"/>
    <w:rsid w:val="00E60A70"/>
    <w:rsid w:val="00E60F32"/>
    <w:rsid w:val="00E61373"/>
    <w:rsid w:val="00E616DF"/>
    <w:rsid w:val="00E61738"/>
    <w:rsid w:val="00E61FA4"/>
    <w:rsid w:val="00E626A9"/>
    <w:rsid w:val="00E63611"/>
    <w:rsid w:val="00E6466B"/>
    <w:rsid w:val="00E64F58"/>
    <w:rsid w:val="00E65009"/>
    <w:rsid w:val="00E65597"/>
    <w:rsid w:val="00E66DEF"/>
    <w:rsid w:val="00E675FC"/>
    <w:rsid w:val="00E6779C"/>
    <w:rsid w:val="00E67B7B"/>
    <w:rsid w:val="00E67BEC"/>
    <w:rsid w:val="00E67EB0"/>
    <w:rsid w:val="00E7011C"/>
    <w:rsid w:val="00E70AE7"/>
    <w:rsid w:val="00E70B78"/>
    <w:rsid w:val="00E70BDC"/>
    <w:rsid w:val="00E70ECA"/>
    <w:rsid w:val="00E71CEA"/>
    <w:rsid w:val="00E7270A"/>
    <w:rsid w:val="00E72F06"/>
    <w:rsid w:val="00E737C7"/>
    <w:rsid w:val="00E73EC2"/>
    <w:rsid w:val="00E753EB"/>
    <w:rsid w:val="00E77011"/>
    <w:rsid w:val="00E80C3C"/>
    <w:rsid w:val="00E8103C"/>
    <w:rsid w:val="00E81493"/>
    <w:rsid w:val="00E81544"/>
    <w:rsid w:val="00E81696"/>
    <w:rsid w:val="00E81BA8"/>
    <w:rsid w:val="00E82035"/>
    <w:rsid w:val="00E82CE7"/>
    <w:rsid w:val="00E82D5E"/>
    <w:rsid w:val="00E82FB3"/>
    <w:rsid w:val="00E849E6"/>
    <w:rsid w:val="00E84E0E"/>
    <w:rsid w:val="00E854FF"/>
    <w:rsid w:val="00E85CC1"/>
    <w:rsid w:val="00E85D65"/>
    <w:rsid w:val="00E86443"/>
    <w:rsid w:val="00E869FD"/>
    <w:rsid w:val="00E875EF"/>
    <w:rsid w:val="00E90871"/>
    <w:rsid w:val="00E90925"/>
    <w:rsid w:val="00E9104C"/>
    <w:rsid w:val="00E9204A"/>
    <w:rsid w:val="00E920EC"/>
    <w:rsid w:val="00E9213B"/>
    <w:rsid w:val="00E92929"/>
    <w:rsid w:val="00E935FC"/>
    <w:rsid w:val="00E9554F"/>
    <w:rsid w:val="00E956EF"/>
    <w:rsid w:val="00E96306"/>
    <w:rsid w:val="00E96B7C"/>
    <w:rsid w:val="00E970F1"/>
    <w:rsid w:val="00E97506"/>
    <w:rsid w:val="00E97ADA"/>
    <w:rsid w:val="00EA29E0"/>
    <w:rsid w:val="00EA2B8A"/>
    <w:rsid w:val="00EA3616"/>
    <w:rsid w:val="00EA6691"/>
    <w:rsid w:val="00EA692A"/>
    <w:rsid w:val="00EB004A"/>
    <w:rsid w:val="00EB029B"/>
    <w:rsid w:val="00EB06B4"/>
    <w:rsid w:val="00EB1094"/>
    <w:rsid w:val="00EB289F"/>
    <w:rsid w:val="00EB3E4C"/>
    <w:rsid w:val="00EB4127"/>
    <w:rsid w:val="00EB45D4"/>
    <w:rsid w:val="00EC00FE"/>
    <w:rsid w:val="00EC0C41"/>
    <w:rsid w:val="00EC0E2D"/>
    <w:rsid w:val="00EC0F28"/>
    <w:rsid w:val="00EC111A"/>
    <w:rsid w:val="00EC12FA"/>
    <w:rsid w:val="00EC139C"/>
    <w:rsid w:val="00EC1606"/>
    <w:rsid w:val="00EC171B"/>
    <w:rsid w:val="00EC23B1"/>
    <w:rsid w:val="00EC279F"/>
    <w:rsid w:val="00EC3143"/>
    <w:rsid w:val="00EC3C00"/>
    <w:rsid w:val="00EC501B"/>
    <w:rsid w:val="00EC5433"/>
    <w:rsid w:val="00EC6F17"/>
    <w:rsid w:val="00ED08F1"/>
    <w:rsid w:val="00ED09EA"/>
    <w:rsid w:val="00ED2331"/>
    <w:rsid w:val="00ED3F0C"/>
    <w:rsid w:val="00ED4CA9"/>
    <w:rsid w:val="00ED4D52"/>
    <w:rsid w:val="00ED50FA"/>
    <w:rsid w:val="00ED5442"/>
    <w:rsid w:val="00ED5B40"/>
    <w:rsid w:val="00ED6629"/>
    <w:rsid w:val="00ED6B2E"/>
    <w:rsid w:val="00ED71C8"/>
    <w:rsid w:val="00ED77EC"/>
    <w:rsid w:val="00ED7980"/>
    <w:rsid w:val="00EE010B"/>
    <w:rsid w:val="00EE0519"/>
    <w:rsid w:val="00EE18C6"/>
    <w:rsid w:val="00EE1905"/>
    <w:rsid w:val="00EE20D3"/>
    <w:rsid w:val="00EE217B"/>
    <w:rsid w:val="00EE233F"/>
    <w:rsid w:val="00EE2C32"/>
    <w:rsid w:val="00EE3C74"/>
    <w:rsid w:val="00EE3D65"/>
    <w:rsid w:val="00EE54F6"/>
    <w:rsid w:val="00EE5F12"/>
    <w:rsid w:val="00EE5F80"/>
    <w:rsid w:val="00EE648D"/>
    <w:rsid w:val="00EE664F"/>
    <w:rsid w:val="00EE68FE"/>
    <w:rsid w:val="00EF0C2D"/>
    <w:rsid w:val="00EF0EE2"/>
    <w:rsid w:val="00EF129A"/>
    <w:rsid w:val="00EF20C6"/>
    <w:rsid w:val="00EF3248"/>
    <w:rsid w:val="00EF34E0"/>
    <w:rsid w:val="00EF3F2A"/>
    <w:rsid w:val="00EF41B9"/>
    <w:rsid w:val="00EF5595"/>
    <w:rsid w:val="00EF57A7"/>
    <w:rsid w:val="00EF6735"/>
    <w:rsid w:val="00EF6CEC"/>
    <w:rsid w:val="00EF7106"/>
    <w:rsid w:val="00EF7803"/>
    <w:rsid w:val="00EF7AEF"/>
    <w:rsid w:val="00EF7E38"/>
    <w:rsid w:val="00F010B0"/>
    <w:rsid w:val="00F015C8"/>
    <w:rsid w:val="00F01D08"/>
    <w:rsid w:val="00F01DBE"/>
    <w:rsid w:val="00F01F89"/>
    <w:rsid w:val="00F023D4"/>
    <w:rsid w:val="00F03464"/>
    <w:rsid w:val="00F037CF"/>
    <w:rsid w:val="00F04D9D"/>
    <w:rsid w:val="00F059B2"/>
    <w:rsid w:val="00F05B48"/>
    <w:rsid w:val="00F0621E"/>
    <w:rsid w:val="00F067CC"/>
    <w:rsid w:val="00F114D5"/>
    <w:rsid w:val="00F11842"/>
    <w:rsid w:val="00F118CD"/>
    <w:rsid w:val="00F11F51"/>
    <w:rsid w:val="00F1355D"/>
    <w:rsid w:val="00F14EAA"/>
    <w:rsid w:val="00F14F5C"/>
    <w:rsid w:val="00F1549E"/>
    <w:rsid w:val="00F15D78"/>
    <w:rsid w:val="00F17466"/>
    <w:rsid w:val="00F177C2"/>
    <w:rsid w:val="00F17A97"/>
    <w:rsid w:val="00F17F71"/>
    <w:rsid w:val="00F204DA"/>
    <w:rsid w:val="00F21A17"/>
    <w:rsid w:val="00F22E78"/>
    <w:rsid w:val="00F23CD8"/>
    <w:rsid w:val="00F24001"/>
    <w:rsid w:val="00F24BE8"/>
    <w:rsid w:val="00F2553A"/>
    <w:rsid w:val="00F25C34"/>
    <w:rsid w:val="00F26115"/>
    <w:rsid w:val="00F26E0A"/>
    <w:rsid w:val="00F304B8"/>
    <w:rsid w:val="00F31B46"/>
    <w:rsid w:val="00F31FCE"/>
    <w:rsid w:val="00F32202"/>
    <w:rsid w:val="00F34730"/>
    <w:rsid w:val="00F34A15"/>
    <w:rsid w:val="00F34A8E"/>
    <w:rsid w:val="00F350AC"/>
    <w:rsid w:val="00F35844"/>
    <w:rsid w:val="00F35AF7"/>
    <w:rsid w:val="00F35D3C"/>
    <w:rsid w:val="00F35E15"/>
    <w:rsid w:val="00F36A39"/>
    <w:rsid w:val="00F41A75"/>
    <w:rsid w:val="00F41BE1"/>
    <w:rsid w:val="00F4323F"/>
    <w:rsid w:val="00F43BCC"/>
    <w:rsid w:val="00F454A1"/>
    <w:rsid w:val="00F45DA3"/>
    <w:rsid w:val="00F468EF"/>
    <w:rsid w:val="00F47F9F"/>
    <w:rsid w:val="00F5069B"/>
    <w:rsid w:val="00F50876"/>
    <w:rsid w:val="00F51FCE"/>
    <w:rsid w:val="00F5234D"/>
    <w:rsid w:val="00F523EA"/>
    <w:rsid w:val="00F52928"/>
    <w:rsid w:val="00F52E76"/>
    <w:rsid w:val="00F54B76"/>
    <w:rsid w:val="00F55BFF"/>
    <w:rsid w:val="00F56F3B"/>
    <w:rsid w:val="00F57948"/>
    <w:rsid w:val="00F606E8"/>
    <w:rsid w:val="00F60A57"/>
    <w:rsid w:val="00F6135B"/>
    <w:rsid w:val="00F615F3"/>
    <w:rsid w:val="00F61907"/>
    <w:rsid w:val="00F63AA9"/>
    <w:rsid w:val="00F63BA8"/>
    <w:rsid w:val="00F63E78"/>
    <w:rsid w:val="00F64231"/>
    <w:rsid w:val="00F6517A"/>
    <w:rsid w:val="00F66395"/>
    <w:rsid w:val="00F66D82"/>
    <w:rsid w:val="00F71657"/>
    <w:rsid w:val="00F72031"/>
    <w:rsid w:val="00F72983"/>
    <w:rsid w:val="00F72A54"/>
    <w:rsid w:val="00F73AD5"/>
    <w:rsid w:val="00F73F29"/>
    <w:rsid w:val="00F73F85"/>
    <w:rsid w:val="00F7592F"/>
    <w:rsid w:val="00F81FD6"/>
    <w:rsid w:val="00F823EE"/>
    <w:rsid w:val="00F83640"/>
    <w:rsid w:val="00F837CA"/>
    <w:rsid w:val="00F83BE8"/>
    <w:rsid w:val="00F84D13"/>
    <w:rsid w:val="00F8521D"/>
    <w:rsid w:val="00F854D4"/>
    <w:rsid w:val="00F85F86"/>
    <w:rsid w:val="00F86305"/>
    <w:rsid w:val="00F919E3"/>
    <w:rsid w:val="00F932DF"/>
    <w:rsid w:val="00F93701"/>
    <w:rsid w:val="00F93CC6"/>
    <w:rsid w:val="00F95E17"/>
    <w:rsid w:val="00F96586"/>
    <w:rsid w:val="00F9725E"/>
    <w:rsid w:val="00F979AA"/>
    <w:rsid w:val="00F97D47"/>
    <w:rsid w:val="00F97EFA"/>
    <w:rsid w:val="00FA05E2"/>
    <w:rsid w:val="00FA13DE"/>
    <w:rsid w:val="00FA1E8B"/>
    <w:rsid w:val="00FA2747"/>
    <w:rsid w:val="00FA34B8"/>
    <w:rsid w:val="00FA436D"/>
    <w:rsid w:val="00FA4622"/>
    <w:rsid w:val="00FA48DC"/>
    <w:rsid w:val="00FA5304"/>
    <w:rsid w:val="00FA53C8"/>
    <w:rsid w:val="00FA62B4"/>
    <w:rsid w:val="00FA6662"/>
    <w:rsid w:val="00FA66DA"/>
    <w:rsid w:val="00FA6E69"/>
    <w:rsid w:val="00FB0A81"/>
    <w:rsid w:val="00FB0CBE"/>
    <w:rsid w:val="00FB1180"/>
    <w:rsid w:val="00FB11EC"/>
    <w:rsid w:val="00FB202B"/>
    <w:rsid w:val="00FB22A4"/>
    <w:rsid w:val="00FB3003"/>
    <w:rsid w:val="00FB3230"/>
    <w:rsid w:val="00FB3651"/>
    <w:rsid w:val="00FB4901"/>
    <w:rsid w:val="00FB4A76"/>
    <w:rsid w:val="00FB596C"/>
    <w:rsid w:val="00FB6124"/>
    <w:rsid w:val="00FB62F8"/>
    <w:rsid w:val="00FC0245"/>
    <w:rsid w:val="00FC0B90"/>
    <w:rsid w:val="00FC168C"/>
    <w:rsid w:val="00FC2135"/>
    <w:rsid w:val="00FC2734"/>
    <w:rsid w:val="00FC461C"/>
    <w:rsid w:val="00FC76CD"/>
    <w:rsid w:val="00FC7ADE"/>
    <w:rsid w:val="00FD09ED"/>
    <w:rsid w:val="00FD14DB"/>
    <w:rsid w:val="00FD2F31"/>
    <w:rsid w:val="00FD36BE"/>
    <w:rsid w:val="00FD3B5C"/>
    <w:rsid w:val="00FD3BCC"/>
    <w:rsid w:val="00FD465F"/>
    <w:rsid w:val="00FD4EEF"/>
    <w:rsid w:val="00FD5176"/>
    <w:rsid w:val="00FD5566"/>
    <w:rsid w:val="00FD5C04"/>
    <w:rsid w:val="00FD5CFB"/>
    <w:rsid w:val="00FD6391"/>
    <w:rsid w:val="00FD70D0"/>
    <w:rsid w:val="00FD719D"/>
    <w:rsid w:val="00FD7FDA"/>
    <w:rsid w:val="00FE0565"/>
    <w:rsid w:val="00FE0CB6"/>
    <w:rsid w:val="00FE1D01"/>
    <w:rsid w:val="00FE1E96"/>
    <w:rsid w:val="00FE1E9A"/>
    <w:rsid w:val="00FE2D22"/>
    <w:rsid w:val="00FE3673"/>
    <w:rsid w:val="00FE3A9C"/>
    <w:rsid w:val="00FE3F1F"/>
    <w:rsid w:val="00FE4341"/>
    <w:rsid w:val="00FE45DC"/>
    <w:rsid w:val="00FE5C73"/>
    <w:rsid w:val="00FE6281"/>
    <w:rsid w:val="00FE7F4D"/>
    <w:rsid w:val="00FF0035"/>
    <w:rsid w:val="00FF19C7"/>
    <w:rsid w:val="00FF459C"/>
    <w:rsid w:val="00FF6BDA"/>
    <w:rsid w:val="00FF70CF"/>
    <w:rsid w:val="00FF7459"/>
    <w:rsid w:val="00FF7C53"/>
    <w:rsid w:val="15EF3692"/>
    <w:rsid w:val="409A10A5"/>
    <w:rsid w:val="4E223825"/>
    <w:rsid w:val="6F743D83"/>
    <w:rsid w:val="745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59F145"/>
  <w15:docId w15:val="{E7BEBD2D-FEB4-4DA4-870F-C7F55338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table" w:styleId="a9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link w:val="a5"/>
    <w:uiPriority w:val="99"/>
    <w:qFormat/>
    <w:locked/>
    <w:rPr>
      <w:rFonts w:cs="Times New Roman"/>
    </w:rPr>
  </w:style>
  <w:style w:type="character" w:customStyle="1" w:styleId="a8">
    <w:name w:val="Нижний колонтитул Знак"/>
    <w:link w:val="a7"/>
    <w:uiPriority w:val="99"/>
    <w:qFormat/>
    <w:locked/>
    <w:rPr>
      <w:rFonts w:cs="Times New Roman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pPr>
      <w:ind w:left="720"/>
      <w:contextualSpacing/>
    </w:pPr>
    <w:rPr>
      <w:rFonts w:eastAsia="Times New Roman"/>
    </w:rPr>
  </w:style>
  <w:style w:type="character" w:customStyle="1" w:styleId="a4">
    <w:name w:val="Текст выноски Знак"/>
    <w:link w:val="a3"/>
    <w:uiPriority w:val="99"/>
    <w:semiHidden/>
    <w:qFormat/>
    <w:locked/>
    <w:rPr>
      <w:rFonts w:ascii="Tahoma" w:hAnsi="Tahoma" w:cs="Tahoma"/>
      <w:sz w:val="16"/>
      <w:szCs w:val="16"/>
    </w:rPr>
  </w:style>
  <w:style w:type="paragraph" w:customStyle="1" w:styleId="NormalExport">
    <w:name w:val="Normal_Export"/>
    <w:basedOn w:val="a"/>
    <w:qFormat/>
    <w:pPr>
      <w:spacing w:after="0" w:line="240" w:lineRule="auto"/>
      <w:jc w:val="both"/>
    </w:pPr>
    <w:rPr>
      <w:rFonts w:ascii="Arial" w:eastAsia="Arial" w:hAnsi="Arial" w:cs="Arial"/>
      <w:color w:val="000000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3EB6F-0D7B-4489-A4DF-ED9117CA0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24</Pages>
  <Words>9612</Words>
  <Characters>54791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Гладких Василиса Александровна</cp:lastModifiedBy>
  <cp:revision>2509</cp:revision>
  <cp:lastPrinted>2024-11-06T13:27:00Z</cp:lastPrinted>
  <dcterms:created xsi:type="dcterms:W3CDTF">2016-09-07T07:15:00Z</dcterms:created>
  <dcterms:modified xsi:type="dcterms:W3CDTF">2024-11-06T14:24:00Z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1DCF1B829E1646B08CA3209307CCF3CB_12</vt:lpwstr>
  </property>
</Properties>
</file>